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მთავრობის</w:t>
      </w:r>
      <w:r w:rsidR="005A44F5" w:rsidRPr="0057502A">
        <w:rPr>
          <w:rFonts w:ascii="Sylfaen" w:hAnsi="Sylfaen"/>
          <w:b/>
          <w:sz w:val="28"/>
          <w:lang w:val="ka-GE"/>
        </w:rPr>
        <w:t xml:space="preserve"> ვალი</w:t>
      </w:r>
    </w:p>
    <w:p w:rsidR="009B63F3" w:rsidRPr="00510802" w:rsidRDefault="00CC46C4" w:rsidP="00D62E87">
      <w:pPr>
        <w:spacing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4D0CBB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4D0CBB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 w:rsidRPr="004D0CBB">
        <w:rPr>
          <w:rFonts w:ascii="Sylfaen" w:hAnsi="Sylfaen" w:cs="Sylfaen"/>
          <w:szCs w:val="21"/>
          <w:shd w:val="clear" w:color="auto" w:fill="FFFFFF"/>
        </w:rPr>
        <w:t>9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11D8A" w:rsidRPr="004D0CBB">
        <w:rPr>
          <w:rFonts w:ascii="Sylfaen" w:hAnsi="Sylfaen" w:cs="Sylfaen"/>
          <w:szCs w:val="21"/>
          <w:shd w:val="clear" w:color="auto" w:fill="FFFFFF"/>
        </w:rPr>
        <w:t>3</w:t>
      </w:r>
      <w:r w:rsidR="00D203DE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EB0EE9" w:rsidRPr="004D0CB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E743D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2402B6">
        <w:rPr>
          <w:rFonts w:ascii="Sylfaen" w:hAnsi="Sylfaen" w:cs="Sylfaen"/>
          <w:szCs w:val="21"/>
          <w:shd w:val="clear" w:color="auto" w:fill="FFFFFF"/>
        </w:rPr>
        <w:t>18</w:t>
      </w:r>
      <w:r w:rsidR="0087661E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E743D">
        <w:rPr>
          <w:rFonts w:ascii="Sylfaen" w:hAnsi="Sylfaen" w:cs="Sylfaen"/>
          <w:szCs w:val="21"/>
          <w:shd w:val="clear" w:color="auto" w:fill="FFFFFF"/>
          <w:lang w:val="ka-GE"/>
        </w:rPr>
        <w:t>873</w:t>
      </w:r>
      <w:r w:rsidR="00914D8C" w:rsidRPr="004D0CB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E743D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11D8A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4D0CBB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9B63F3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="000B471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18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1758F4">
        <w:rPr>
          <w:rFonts w:ascii="Sylfaen" w:hAnsi="Sylfaen"/>
          <w:szCs w:val="21"/>
          <w:shd w:val="clear" w:color="auto" w:fill="FFFFFF"/>
          <w:lang w:val="ka-GE"/>
        </w:rPr>
        <w:t>867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758F4">
        <w:rPr>
          <w:rFonts w:ascii="Sylfaen" w:hAnsi="Sylfaen"/>
          <w:szCs w:val="21"/>
          <w:shd w:val="clear" w:color="auto" w:fill="FFFFFF"/>
          <w:lang w:val="ka-GE"/>
        </w:rPr>
        <w:t>3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3E43A7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E43A7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B2672E">
        <w:rPr>
          <w:rFonts w:ascii="Sylfaen" w:hAnsi="Sylfaen"/>
          <w:szCs w:val="21"/>
          <w:shd w:val="clear" w:color="auto" w:fill="FFFFFF"/>
          <w:lang w:val="ka-GE"/>
        </w:rPr>
        <w:t>ი ვალის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0B4717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1758F4">
        <w:rPr>
          <w:rFonts w:ascii="Sylfaen" w:hAnsi="Sylfaen"/>
          <w:szCs w:val="21"/>
          <w:shd w:val="clear" w:color="auto" w:fill="FFFFFF"/>
          <w:lang w:val="ka-GE"/>
        </w:rPr>
        <w:t>6.3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</w:p>
    <w:p w:rsidR="006F4202" w:rsidRDefault="00FB01F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510802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2402B6">
        <w:rPr>
          <w:rFonts w:ascii="Sylfaen" w:hAnsi="Sylfaen"/>
          <w:szCs w:val="21"/>
          <w:shd w:val="clear" w:color="auto" w:fill="FFFFFF"/>
          <w:lang w:val="ka-GE"/>
        </w:rPr>
        <w:t>15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1758F4">
        <w:rPr>
          <w:rFonts w:ascii="Sylfaen" w:hAnsi="Sylfaen"/>
          <w:szCs w:val="21"/>
          <w:shd w:val="clear" w:color="auto" w:fill="FFFFFF"/>
          <w:lang w:val="ka-GE"/>
        </w:rPr>
        <w:t>222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758F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784855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CB5065" w:rsidRPr="00274E21">
        <w:rPr>
          <w:rFonts w:ascii="Sylfaen" w:hAnsi="Sylfaen"/>
          <w:szCs w:val="21"/>
          <w:shd w:val="clear" w:color="auto" w:fill="FFFFFF"/>
          <w:lang w:val="ka-GE"/>
        </w:rPr>
        <w:t>8</w:t>
      </w:r>
      <w:r w:rsidR="003C5912">
        <w:rPr>
          <w:rFonts w:ascii="Sylfaen" w:hAnsi="Sylfaen"/>
          <w:szCs w:val="21"/>
          <w:shd w:val="clear" w:color="auto" w:fill="FFFFFF"/>
        </w:rPr>
        <w:t>0.7</w:t>
      </w:r>
      <w:bookmarkStart w:id="0" w:name="_GoBack"/>
      <w:bookmarkEnd w:id="0"/>
      <w:r w:rsidR="006F4202" w:rsidRPr="00274E21">
        <w:rPr>
          <w:rFonts w:ascii="Sylfaen" w:hAnsi="Sylfaen"/>
          <w:szCs w:val="21"/>
          <w:shd w:val="clear" w:color="auto" w:fill="FFFFFF"/>
        </w:rPr>
        <w:t>%-</w:t>
      </w:r>
      <w:r w:rsidR="006F4202" w:rsidRPr="00274E21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274E21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274E21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დასაფინანსებლად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r w:rsidR="001758F4">
        <w:rPr>
          <w:rFonts w:ascii="Sylfaen" w:hAnsi="Sylfaen"/>
          <w:szCs w:val="21"/>
          <w:shd w:val="clear" w:color="auto" w:fill="FFFFFF"/>
          <w:lang w:val="ka-GE"/>
        </w:rPr>
        <w:t>22</w:t>
      </w:r>
      <w:r w:rsidR="002A3C73" w:rsidRPr="00A33B48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758F4">
        <w:rPr>
          <w:rFonts w:ascii="Sylfaen" w:hAnsi="Sylfaen"/>
          <w:szCs w:val="21"/>
          <w:shd w:val="clear" w:color="auto" w:fill="FFFFFF"/>
          <w:lang w:val="ka-GE"/>
        </w:rPr>
        <w:t>0</w:t>
      </w:r>
      <w:r w:rsidR="00C126E1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</w:t>
      </w:r>
      <w:r w:rsidR="006F4202" w:rsidRPr="00300938">
        <w:rPr>
          <w:rFonts w:ascii="Sylfaen" w:hAnsi="Sylfaen"/>
          <w:szCs w:val="21"/>
          <w:shd w:val="clear" w:color="auto" w:fill="FFFFFF"/>
          <w:lang w:val="ka-GE"/>
        </w:rPr>
        <w:t xml:space="preserve">დაახლოებით </w:t>
      </w:r>
      <w:r w:rsidR="00DE4001" w:rsidRPr="00300938">
        <w:rPr>
          <w:rFonts w:ascii="Sylfaen" w:hAnsi="Sylfaen"/>
          <w:szCs w:val="21"/>
          <w:shd w:val="clear" w:color="auto" w:fill="FFFFFF"/>
        </w:rPr>
        <w:t xml:space="preserve"> </w:t>
      </w:r>
      <w:r w:rsidR="007820A8" w:rsidRPr="000B4717">
        <w:rPr>
          <w:rFonts w:ascii="Sylfaen" w:hAnsi="Sylfaen"/>
          <w:szCs w:val="21"/>
          <w:shd w:val="clear" w:color="auto" w:fill="FFFFFF"/>
        </w:rPr>
        <w:t>8.2</w:t>
      </w:r>
      <w:r w:rsidR="00C126E1" w:rsidRPr="0030093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300938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30093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0093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CB36D7" w:rsidRPr="00274E21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274E21" w:rsidRPr="00274E21">
        <w:rPr>
          <w:rFonts w:ascii="Sylfaen" w:hAnsi="Sylfaen" w:cs="Sylfaen"/>
          <w:szCs w:val="21"/>
          <w:shd w:val="clear" w:color="auto" w:fill="FFFFFF"/>
        </w:rPr>
        <w:t>14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784855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/>
          <w:b/>
          <w:szCs w:val="18"/>
          <w:shd w:val="clear" w:color="auto" w:fill="FFFFFF"/>
          <w:lang w:val="ka-GE"/>
        </w:rPr>
        <w:t>9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CB5065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1758F4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D62E87">
      <w:pPr>
        <w:spacing w:line="240" w:lineRule="auto"/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E21AE" w:rsidRPr="00A33B48" w:rsidRDefault="008E21A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8E21AE" w:rsidRPr="00A33B48" w:rsidRDefault="008E21A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14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8E21AE" w:rsidRPr="00A33B48" w:rsidRDefault="008E21A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8E21AE" w:rsidRPr="00DE4001" w:rsidRDefault="008E21A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20A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274E21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8E21AE" w:rsidRPr="00A33B48" w:rsidRDefault="008E21A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8E21AE" w:rsidRPr="00A33B48" w:rsidRDefault="008E21A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14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8E21AE" w:rsidRPr="00A33B48" w:rsidRDefault="008E21A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0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8E21AE" w:rsidRPr="00DE4001" w:rsidRDefault="008E21A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7820A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274E21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544364">
        <w:rPr>
          <w:noProof/>
          <w:sz w:val="18"/>
          <w:szCs w:val="18"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7E95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6F4202" w:rsidRPr="001C5235" w:rsidRDefault="009363B9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CB5065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274E21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274E21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B5065" w:rsidRPr="00274E21">
        <w:rPr>
          <w:rFonts w:ascii="Sylfaen" w:hAnsi="Sylfaen" w:cs="Sylfaen"/>
          <w:szCs w:val="21"/>
          <w:shd w:val="clear" w:color="auto" w:fill="FFFFFF"/>
          <w:lang w:val="ka-GE"/>
        </w:rPr>
        <w:t>59</w:t>
      </w:r>
      <w:r w:rsidR="006F4202" w:rsidRPr="00274E21">
        <w:rPr>
          <w:rFonts w:ascii="Sylfaen" w:hAnsi="Sylfaen" w:cs="Sylfaen"/>
          <w:szCs w:val="21"/>
          <w:shd w:val="clear" w:color="auto" w:fill="FFFFFF"/>
        </w:rPr>
        <w:t>%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36419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</w:t>
      </w:r>
      <w:r w:rsidR="00274E21" w:rsidRPr="00274E21">
        <w:rPr>
          <w:rFonts w:ascii="Sylfaen" w:hAnsi="Sylfaen" w:cs="Sylfaen"/>
          <w:szCs w:val="21"/>
          <w:shd w:val="clear" w:color="auto" w:fill="FFFFFF"/>
          <w:lang w:val="ka-GE"/>
        </w:rPr>
        <w:t>33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274E21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274E21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7509F" w:rsidRDefault="00236683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page">
              <wp:posOffset>4076207</wp:posOffset>
            </wp:positionH>
            <wp:positionV relativeFrom="paragraph">
              <wp:posOffset>165204</wp:posOffset>
            </wp:positionV>
            <wp:extent cx="2440940" cy="1868805"/>
            <wp:effectExtent l="0" t="0" r="35560" b="0"/>
            <wp:wrapThrough wrapText="bothSides">
              <wp:wrapPolygon edited="0">
                <wp:start x="0" y="0"/>
                <wp:lineTo x="0" y="21358"/>
                <wp:lineTo x="21746" y="21358"/>
                <wp:lineTo x="21746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539143</wp:posOffset>
            </wp:positionH>
            <wp:positionV relativeFrom="paragraph">
              <wp:posOffset>140922</wp:posOffset>
            </wp:positionV>
            <wp:extent cx="2847975" cy="1905000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A93CD1" w:rsidRPr="00A93CD1" w:rsidRDefault="00A93CD1" w:rsidP="00D62E87">
      <w:pPr>
        <w:tabs>
          <w:tab w:val="left" w:pos="360"/>
        </w:tabs>
        <w:spacing w:line="240" w:lineRule="auto"/>
        <w:rPr>
          <w:rFonts w:ascii="Sylfaen" w:hAnsi="Sylfaen"/>
        </w:rPr>
      </w:pPr>
    </w:p>
    <w:p w:rsidR="006042C4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04141">
        <w:rPr>
          <w:rFonts w:ascii="Sylfaen" w:hAnsi="Sylfaen"/>
          <w:b/>
          <w:lang w:val="ka-GE"/>
        </w:rPr>
        <w:t xml:space="preserve"> საგარეო ვალის სტრუქტურა - </w:t>
      </w:r>
      <w:r>
        <w:rPr>
          <w:rFonts w:ascii="Sylfaen" w:hAnsi="Sylfaen"/>
          <w:b/>
          <w:lang w:val="ka-GE"/>
        </w:rPr>
        <w:t>2019</w:t>
      </w:r>
      <w:r w:rsidR="00E46C45" w:rsidRPr="00F53863">
        <w:rPr>
          <w:rFonts w:ascii="Sylfaen" w:hAnsi="Sylfaen"/>
          <w:b/>
          <w:lang w:val="ka-GE"/>
        </w:rPr>
        <w:t xml:space="preserve"> წლის </w:t>
      </w:r>
      <w:r w:rsidR="00CB5065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1757D3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300938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1757D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E46C45" w:rsidRPr="00F53863">
        <w:rPr>
          <w:rFonts w:ascii="Sylfaen" w:hAnsi="Sylfaen"/>
          <w:b/>
          <w:lang w:val="ka-GE"/>
        </w:rPr>
        <w:t xml:space="preserve"> </w:t>
      </w:r>
      <w:r w:rsidR="00071D1D" w:rsidRPr="00B04141">
        <w:rPr>
          <w:rFonts w:ascii="Sylfaen" w:hAnsi="Sylfaen"/>
          <w:b/>
          <w:lang w:val="ka-GE"/>
        </w:rPr>
        <w:t>მდგომარეობით</w:t>
      </w:r>
    </w:p>
    <w:p w:rsidR="00274E21" w:rsidRDefault="00274E21" w:rsidP="00D62E87">
      <w:pPr>
        <w:tabs>
          <w:tab w:val="left" w:pos="360"/>
        </w:tabs>
        <w:spacing w:after="0" w:line="240" w:lineRule="auto"/>
        <w:jc w:val="center"/>
      </w:pP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"C:\\Users\\l.phirtskhalaishvili\\AppData\\Local\\Microsoft\\Windows\\INetCache\\Content.Outlook\\Z2EX8TKM\\Average Weighted Interest Rate_2019 SEP.xlsx" "SEP (GVT-GE)!R5C2:R108C9" \a \f 4 \h </w:instrText>
      </w:r>
      <w:r w:rsidR="00C65B32">
        <w:rPr>
          <w:lang w:val="ka-GE"/>
        </w:rPr>
        <w:instrText xml:space="preserve"> \* MERGEFORMAT </w:instrText>
      </w:r>
      <w:r>
        <w:rPr>
          <w:lang w:val="ka-GE"/>
        </w:rPr>
        <w:fldChar w:fldCharType="separate"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909"/>
        <w:gridCol w:w="1373"/>
        <w:gridCol w:w="1301"/>
        <w:gridCol w:w="1354"/>
        <w:gridCol w:w="1060"/>
        <w:gridCol w:w="1058"/>
      </w:tblGrid>
      <w:tr w:rsidR="00274E21" w:rsidRPr="00274E21" w:rsidTr="003C5912">
        <w:trPr>
          <w:trHeight w:val="691"/>
          <w:tblHeader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27" w:type="pct"/>
            <w:shd w:val="clear" w:color="000000" w:fill="FFFFFF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30.09.2019 </w:t>
            </w:r>
          </w:p>
        </w:tc>
        <w:tc>
          <w:tcPr>
            <w:tcW w:w="526" w:type="pct"/>
            <w:shd w:val="clear" w:color="000000" w:fill="FFFFFF"/>
            <w:vAlign w:val="bottom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74E21" w:rsidRPr="00274E21" w:rsidTr="003C5912">
        <w:trPr>
          <w:trHeight w:val="330"/>
        </w:trPr>
        <w:tc>
          <w:tcPr>
            <w:tcW w:w="1944" w:type="pct"/>
            <w:gridSpan w:val="2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          5 151 200 </w:t>
            </w:r>
          </w:p>
        </w:tc>
        <w:tc>
          <w:tcPr>
            <w:tcW w:w="647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     15 222 826 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27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26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274E21" w:rsidRPr="00274E21" w:rsidTr="003C5912">
        <w:trPr>
          <w:trHeight w:val="402"/>
        </w:trPr>
        <w:tc>
          <w:tcPr>
            <w:tcW w:w="1944" w:type="pct"/>
            <w:gridSpan w:val="2"/>
            <w:shd w:val="clear" w:color="auto" w:fill="DBE5F1" w:themeFill="accent1" w:themeFillTint="33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8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3 743 775 </w:t>
            </w:r>
          </w:p>
        </w:tc>
        <w:tc>
          <w:tcPr>
            <w:tcW w:w="64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11 063 603 </w:t>
            </w:r>
          </w:p>
        </w:tc>
        <w:tc>
          <w:tcPr>
            <w:tcW w:w="67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>(WB - IDA)</w:t>
            </w:r>
          </w:p>
        </w:tc>
        <w:tc>
          <w:tcPr>
            <w:tcW w:w="452" w:type="pct"/>
            <w:vMerge w:val="restar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8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720 805 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2 130 123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0.105%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239 643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708 193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0.093%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9 333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27 582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ასოციაცია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>(WB - IBRD)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48 726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143 996 </w:t>
            </w:r>
          </w:p>
        </w:tc>
        <w:tc>
          <w:tcPr>
            <w:tcW w:w="673" w:type="pct"/>
            <w:vMerge w:val="restart"/>
            <w:shd w:val="clear" w:color="000000" w:fill="FFFFFF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274E21">
              <w:rPr>
                <w:rFonts w:ascii="Calibri" w:eastAsia="Times New Roman" w:hAnsi="Calibri" w:cs="Calibri"/>
                <w:sz w:val="12"/>
                <w:szCs w:val="12"/>
              </w:rPr>
              <w:t>EURIBOR + Var. Spread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0.66%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shd w:val="clear" w:color="auto" w:fill="auto"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53 798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158 984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0.77%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171 958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508 171 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LIBOR + Variable Spread 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0.083%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45 551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134 612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2.70%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30 635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90 532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2.74%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151 013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446 274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2.90%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0.085%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131 526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388 685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3.02%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0.077%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25 937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76 650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3.04%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22 114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65 352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3.29%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47 332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139 875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3.31%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0.030%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18 517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54 722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3.32%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9 474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27 998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25 469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75 267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3.44%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3C5912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123 320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364 436 </w:t>
            </w:r>
          </w:p>
        </w:tc>
        <w:tc>
          <w:tcPr>
            <w:tcW w:w="673" w:type="pct"/>
            <w:vMerge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3.64%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3C5912" w:rsidRPr="00274E21" w:rsidRDefault="003C5912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0.087%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სოფლის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მეურნეობის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18 166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53 683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10 263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30 329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566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4 140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12 233 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1.15%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274E21" w:rsidRPr="00274E21" w:rsidTr="003C5912">
        <w:trPr>
          <w:trHeight w:val="420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სავალუტო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ფონდი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(SBA )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6 817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20 144 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1.81%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274E21" w:rsidRPr="00274E21" w:rsidTr="003C5912">
        <w:trPr>
          <w:trHeight w:val="28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ევროგაერთიანება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10 925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32 286 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274E21" w:rsidRPr="00274E21" w:rsidTr="003C5912">
        <w:trPr>
          <w:trHeight w:val="28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14 203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41 972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274E21" w:rsidRPr="00274E21" w:rsidTr="003C5912">
        <w:trPr>
          <w:trHeight w:val="28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16 388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48 429 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510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რეკონსტრუქციის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115 367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340 933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0.77%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0.017%</w:t>
            </w:r>
          </w:p>
        </w:tc>
      </w:tr>
      <w:tr w:rsidR="00274E21" w:rsidRPr="00274E21" w:rsidTr="003C5912">
        <w:trPr>
          <w:trHeight w:val="240"/>
        </w:trPr>
        <w:tc>
          <w:tcPr>
            <w:tcW w:w="1492" w:type="pct"/>
            <w:vMerge w:val="restart"/>
            <w:shd w:val="clear" w:color="auto" w:fill="auto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61 354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181 314 </w:t>
            </w:r>
          </w:p>
        </w:tc>
        <w:tc>
          <w:tcPr>
            <w:tcW w:w="673" w:type="pct"/>
            <w:vMerge w:val="restar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274E21" w:rsidRPr="00274E21" w:rsidTr="003C5912">
        <w:trPr>
          <w:trHeight w:val="24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353 128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1 043 563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0.103%</w:t>
            </w:r>
          </w:p>
        </w:tc>
      </w:tr>
      <w:tr w:rsidR="00274E21" w:rsidRPr="00274E21" w:rsidTr="003C5912">
        <w:trPr>
          <w:trHeight w:val="24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38 740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114 483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274E21" w:rsidRPr="00274E21" w:rsidTr="003C5912">
        <w:trPr>
          <w:trHeight w:val="21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226 920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670 593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0.088%</w:t>
            </w:r>
          </w:p>
        </w:tc>
      </w:tr>
      <w:tr w:rsidR="00274E21" w:rsidRPr="00274E21" w:rsidTr="003C5912">
        <w:trPr>
          <w:trHeight w:val="42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85 143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251 616 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0.40%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50 000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147 760 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2.34%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73 511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217 239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2.60%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0.037%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45 312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133 907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2.62%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50 000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147 760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2.68%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0.026%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28 007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82 767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2.74%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39 046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115 388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2.80%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0.021%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14 000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41 373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3.08%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53 797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158 981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3.23%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0.034%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10 080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29 789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3.30%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274E21" w:rsidRPr="00274E21" w:rsidTr="003C5912">
        <w:trPr>
          <w:trHeight w:val="180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17 736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52 412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3.33%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274E21" w:rsidRPr="00274E21" w:rsidTr="003C5912">
        <w:trPr>
          <w:trHeight w:val="540"/>
        </w:trPr>
        <w:tc>
          <w:tcPr>
            <w:tcW w:w="1492" w:type="pct"/>
            <w:shd w:val="clear" w:color="auto" w:fill="auto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აზიის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ინფრასტრუქტურის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22 906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67 692 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4.08%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274E21" w:rsidRPr="00274E21" w:rsidTr="003C5912">
        <w:trPr>
          <w:trHeight w:val="540"/>
        </w:trPr>
        <w:tc>
          <w:tcPr>
            <w:tcW w:w="1492" w:type="pct"/>
            <w:shd w:val="clear" w:color="auto" w:fill="auto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ევროსაბჭოს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განვითარების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985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2 911 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</w:t>
            </w:r>
            <w:proofErr w:type="spellEnd"/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+ Variable Spread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0.21%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ევროპის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საინვესტიციო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ბანკი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>(EIB)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9 124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26 964 </w:t>
            </w:r>
          </w:p>
        </w:tc>
        <w:tc>
          <w:tcPr>
            <w:tcW w:w="673" w:type="pct"/>
            <w:vMerge w:val="restar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21 850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64 572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10 925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32 286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25 375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74 987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21 850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64 572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1.94%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256 741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758 721 </w:t>
            </w:r>
          </w:p>
        </w:tc>
        <w:tc>
          <w:tcPr>
            <w:tcW w:w="673" w:type="pct"/>
            <w:vMerge w:val="restar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21 850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64 572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0.15%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3 278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9 686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0.51%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81 438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240 666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10 591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31 299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0.58%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38 668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114 271 </w:t>
            </w:r>
          </w:p>
        </w:tc>
        <w:tc>
          <w:tcPr>
            <w:tcW w:w="673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0.59%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360"/>
        </w:trPr>
        <w:tc>
          <w:tcPr>
            <w:tcW w:w="1492" w:type="pct"/>
            <w:shd w:val="clear" w:color="auto" w:fill="DBE5F1" w:themeFill="accent1" w:themeFillTint="33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lastRenderedPageBreak/>
              <w:t>ორმხრივი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  <w:hideMark/>
          </w:tcPr>
          <w:p w:rsidR="00274E21" w:rsidRPr="00C65B32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</w:rPr>
            </w:pPr>
            <w:r w:rsidRPr="00C65B32">
              <w:rPr>
                <w:rFonts w:ascii="Calibri" w:eastAsia="Times New Roman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905 722 </w:t>
            </w:r>
          </w:p>
        </w:tc>
        <w:tc>
          <w:tcPr>
            <w:tcW w:w="64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2 676 589 </w:t>
            </w:r>
          </w:p>
        </w:tc>
        <w:tc>
          <w:tcPr>
            <w:tcW w:w="67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18 960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56 032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6 874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20 313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211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624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13 209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39 035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5 267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15 564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53 772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158 907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0.042%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7 554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22 324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120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355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110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324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14 421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42 617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274E21" w:rsidRPr="00274E21" w:rsidTr="003C5912">
        <w:trPr>
          <w:trHeight w:val="22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CNY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1 263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3 732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გერმანია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(</w:t>
            </w:r>
            <w:proofErr w:type="spellStart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>KfW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1 470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4 344 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EURIBOR+ 0.3% 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0.05%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53 533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158 201 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EURIBOR+ 0.75% 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0.56%</w:t>
            </w:r>
          </w:p>
        </w:tc>
        <w:tc>
          <w:tcPr>
            <w:tcW w:w="526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122 148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360 971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18 457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54 543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1 633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4 825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31 136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92 013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25 964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76 729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12 873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38 042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30 044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88 786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0.033%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10 926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32 289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27 369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80 881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142 627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</w:t>
            </w:r>
            <w:r w:rsidR="00C65B32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421 491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24 867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73 487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1 468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4 337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20 427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60 366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544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1 608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8 877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26 233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133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392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546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1 613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  191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566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7 772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22 968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4 586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13 553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6 891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20 365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452" w:type="pct"/>
            <w:vMerge w:val="restar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12 985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38 372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21 974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64 937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19 886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58 768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36 498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107 858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65 551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193 716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 + 0.33%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0.37%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65 551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193 716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0.37%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3 026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8 943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 + 1.8%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1.80%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52" w:type="pct"/>
            <w:vMerge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C65B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4 010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11 849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274E21" w:rsidRPr="00274E21" w:rsidTr="003C5912">
        <w:trPr>
          <w:trHeight w:val="285"/>
        </w:trPr>
        <w:tc>
          <w:tcPr>
            <w:tcW w:w="1492" w:type="pct"/>
            <w:shd w:val="clear" w:color="auto" w:fill="DBE5F1" w:themeFill="accent1" w:themeFillTint="33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8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500 000 </w:t>
            </w:r>
          </w:p>
        </w:tc>
        <w:tc>
          <w:tcPr>
            <w:tcW w:w="64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1 477 600 </w:t>
            </w:r>
          </w:p>
        </w:tc>
        <w:tc>
          <w:tcPr>
            <w:tcW w:w="67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274E21" w:rsidRPr="00274E21" w:rsidTr="003C5912">
        <w:trPr>
          <w:trHeight w:val="270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8"/>
                <w:szCs w:val="18"/>
              </w:rPr>
              <w:t>ევროობლიგაცია</w:t>
            </w:r>
            <w:proofErr w:type="spellEnd"/>
            <w:r w:rsidRPr="00274E21">
              <w:rPr>
                <w:rFonts w:ascii="Calibri" w:eastAsia="Times New Roman" w:hAnsi="Calibri" w:cs="Calibri"/>
                <w:sz w:val="18"/>
                <w:szCs w:val="18"/>
              </w:rPr>
              <w:t xml:space="preserve"> 2021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83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500 000 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1 477 600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0.667%</w:t>
            </w:r>
          </w:p>
        </w:tc>
      </w:tr>
      <w:tr w:rsidR="00274E21" w:rsidRPr="00274E21" w:rsidTr="003C5912">
        <w:trPr>
          <w:trHeight w:val="300"/>
        </w:trPr>
        <w:tc>
          <w:tcPr>
            <w:tcW w:w="1492" w:type="pct"/>
            <w:shd w:val="clear" w:color="auto" w:fill="DBE5F1" w:themeFill="accent1" w:themeFillTint="33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 w:rsidRPr="00274E2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4E2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452" w:type="pct"/>
            <w:shd w:val="clear" w:color="auto" w:fill="DBE5F1" w:themeFill="accent1" w:themeFillTint="33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8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      1 704 </w:t>
            </w:r>
          </w:p>
        </w:tc>
        <w:tc>
          <w:tcPr>
            <w:tcW w:w="64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                 5 035 </w:t>
            </w:r>
          </w:p>
        </w:tc>
        <w:tc>
          <w:tcPr>
            <w:tcW w:w="673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Fixed </w:t>
            </w:r>
          </w:p>
        </w:tc>
        <w:tc>
          <w:tcPr>
            <w:tcW w:w="527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pct"/>
            <w:shd w:val="clear" w:color="auto" w:fill="DBE5F1" w:themeFill="accent1" w:themeFillTint="33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274E21" w:rsidRPr="00274E21" w:rsidTr="003C5912">
        <w:trPr>
          <w:trHeight w:val="195"/>
        </w:trPr>
        <w:tc>
          <w:tcPr>
            <w:tcW w:w="149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274E21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proofErr w:type="spellStart"/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KfW</w:t>
            </w:r>
            <w:proofErr w:type="spellEnd"/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452" w:type="pct"/>
            <w:shd w:val="clear" w:color="000000" w:fill="FFFFFF"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8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1 704 </w:t>
            </w:r>
          </w:p>
        </w:tc>
        <w:tc>
          <w:tcPr>
            <w:tcW w:w="64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5 035 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274E21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74E21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274E21" w:rsidRPr="00274E21" w:rsidTr="003C5912">
        <w:trPr>
          <w:trHeight w:val="495"/>
        </w:trPr>
        <w:tc>
          <w:tcPr>
            <w:tcW w:w="1944" w:type="pct"/>
            <w:gridSpan w:val="2"/>
            <w:shd w:val="clear" w:color="auto" w:fill="auto"/>
            <w:noWrap/>
            <w:vAlign w:val="center"/>
            <w:hideMark/>
          </w:tcPr>
          <w:p w:rsidR="00274E21" w:rsidRPr="008E21AE" w:rsidRDefault="00274E21" w:rsidP="00274E2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21A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30" w:type="pct"/>
            <w:gridSpan w:val="4"/>
            <w:shd w:val="clear" w:color="auto" w:fill="auto"/>
            <w:noWrap/>
            <w:vAlign w:val="center"/>
            <w:hideMark/>
          </w:tcPr>
          <w:p w:rsidR="00274E21" w:rsidRPr="008E21AE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8E21AE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საშუალო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შეწონილი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274E21" w:rsidRPr="008E21AE" w:rsidRDefault="00274E21" w:rsidP="00274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E21A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2.14%</w:t>
            </w:r>
          </w:p>
        </w:tc>
      </w:tr>
    </w:tbl>
    <w:p w:rsidR="00CB5065" w:rsidRDefault="00274E21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fldChar w:fldCharType="end"/>
      </w:r>
    </w:p>
    <w:p w:rsidR="00C65B32" w:rsidRDefault="00C65B3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C65B32" w:rsidRDefault="00C65B32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797BDC" w:rsidRDefault="00B830F8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E160B">
        <w:rPr>
          <w:rFonts w:ascii="Sylfaen" w:hAnsi="Sylfaen" w:cs="Sylfaen"/>
          <w:szCs w:val="21"/>
          <w:shd w:val="clear" w:color="auto" w:fill="FFFFFF"/>
          <w:lang w:val="ka-GE"/>
        </w:rPr>
        <w:t>საანგარიშო პერიოდში მიიმართა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908 848.7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C2136E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მათ შორის 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690 298.8</w:t>
      </w:r>
      <w:r w:rsidR="009F177E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218 549.8</w:t>
      </w:r>
      <w:r w:rsidR="009F177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661E">
        <w:rPr>
          <w:rFonts w:ascii="Sylfaen" w:hAnsi="Sylfaen" w:cs="Sylfaen"/>
          <w:szCs w:val="21"/>
          <w:shd w:val="clear" w:color="auto" w:fill="FFFFFF"/>
          <w:lang w:val="ka-GE"/>
        </w:rPr>
        <w:t xml:space="preserve">-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C65B32" w:rsidRDefault="00C65B32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C65B32" w:rsidRDefault="00C65B32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C65B32" w:rsidRDefault="00C65B32" w:rsidP="00137A54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4816BC" w:rsidRDefault="00FE7942" w:rsidP="00FB01F8">
      <w:pPr>
        <w:jc w:val="center"/>
        <w:rPr>
          <w:rFonts w:ascii="Sylfaen" w:hAnsi="Sylfaen"/>
          <w:b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საგარეო ვალდებულებების მომსახურება და დაფარვა</w:t>
      </w:r>
      <w:r w:rsidR="00FB01F8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0F5720" w:rsidRPr="00504D30">
        <w:rPr>
          <w:rFonts w:ascii="Sylfaen" w:hAnsi="Sylfaen"/>
          <w:b/>
          <w:lang w:val="ka-GE"/>
        </w:rPr>
        <w:t>201</w:t>
      </w:r>
      <w:r w:rsidR="00784855">
        <w:rPr>
          <w:rFonts w:ascii="Sylfaen" w:hAnsi="Sylfaen"/>
          <w:b/>
          <w:lang w:val="ka-GE"/>
        </w:rPr>
        <w:t>9</w:t>
      </w:r>
      <w:r w:rsidR="000F5720" w:rsidRPr="00504D30">
        <w:rPr>
          <w:rFonts w:ascii="Sylfaen" w:hAnsi="Sylfaen"/>
          <w:b/>
          <w:lang w:val="ka-GE"/>
        </w:rPr>
        <w:t xml:space="preserve"> წლის </w:t>
      </w:r>
      <w:r w:rsidR="0047209C">
        <w:rPr>
          <w:rFonts w:ascii="Sylfaen" w:hAnsi="Sylfaen"/>
          <w:b/>
          <w:lang w:val="ka-GE"/>
        </w:rPr>
        <w:t>30</w:t>
      </w:r>
      <w:r w:rsidR="000F5720" w:rsidRPr="00504D30">
        <w:rPr>
          <w:rFonts w:ascii="Sylfaen" w:hAnsi="Sylfaen"/>
          <w:b/>
          <w:lang w:val="ka-GE"/>
        </w:rPr>
        <w:t xml:space="preserve"> </w:t>
      </w:r>
      <w:r w:rsidR="00300938">
        <w:rPr>
          <w:rFonts w:ascii="Sylfaen" w:hAnsi="Sylfaen"/>
          <w:b/>
          <w:lang w:val="ka-GE"/>
        </w:rPr>
        <w:t>სექტემბრის</w:t>
      </w:r>
      <w:r w:rsidR="00FD691A">
        <w:rPr>
          <w:rFonts w:ascii="Sylfaen" w:hAnsi="Sylfaen"/>
          <w:b/>
          <w:lang w:val="ka-GE"/>
        </w:rPr>
        <w:t xml:space="preserve"> მდგომარეობით</w:t>
      </w:r>
    </w:p>
    <w:p w:rsidR="00B34FAA" w:rsidRDefault="00B62FE2" w:rsidP="000C416D">
      <w:pPr>
        <w:tabs>
          <w:tab w:val="left" w:pos="0"/>
          <w:tab w:val="left" w:pos="9356"/>
        </w:tabs>
        <w:spacing w:after="0" w:line="240" w:lineRule="auto"/>
        <w:ind w:right="852" w:firstLine="720"/>
        <w:jc w:val="right"/>
        <w:rPr>
          <w:rFonts w:ascii="Sylfaen" w:hAnsi="Sylfaen"/>
          <w:i/>
          <w:noProof/>
          <w:color w:val="000000"/>
          <w:sz w:val="16"/>
          <w:szCs w:val="18"/>
          <w:lang w:val="ka-GE"/>
        </w:rPr>
      </w:pPr>
      <w:r>
        <w:rPr>
          <w:rFonts w:ascii="Sylfaen" w:hAnsi="Sylfaen"/>
          <w:i/>
          <w:noProof/>
          <w:color w:val="000000"/>
          <w:sz w:val="16"/>
          <w:szCs w:val="18"/>
        </w:rPr>
        <w:t xml:space="preserve">     </w:t>
      </w:r>
      <w:r w:rsidR="00FB01F8" w:rsidRPr="000C416D">
        <w:rPr>
          <w:rFonts w:ascii="Sylfaen" w:hAnsi="Sylfaen"/>
          <w:i/>
          <w:noProof/>
          <w:color w:val="000000"/>
          <w:sz w:val="16"/>
          <w:szCs w:val="18"/>
          <w:lang w:val="ka-GE"/>
        </w:rPr>
        <w:t>ათასი ლარი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3"/>
        <w:gridCol w:w="2387"/>
        <w:gridCol w:w="2387"/>
        <w:gridCol w:w="2387"/>
      </w:tblGrid>
      <w:tr w:rsidR="00300938" w:rsidRPr="008E21AE" w:rsidTr="008E21AE">
        <w:trPr>
          <w:trHeight w:val="345"/>
        </w:trPr>
        <w:tc>
          <w:tcPr>
            <w:tcW w:w="1439" w:type="pct"/>
            <w:noWrap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  <w:t>კრედიტორები</w:t>
            </w:r>
          </w:p>
        </w:tc>
        <w:tc>
          <w:tcPr>
            <w:tcW w:w="1187" w:type="pct"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  <w:t>ვალების დაფარვა</w:t>
            </w:r>
          </w:p>
        </w:tc>
        <w:tc>
          <w:tcPr>
            <w:tcW w:w="1187" w:type="pct"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  <w:t>პროცენტი</w:t>
            </w:r>
          </w:p>
        </w:tc>
        <w:tc>
          <w:tcPr>
            <w:tcW w:w="1187" w:type="pct"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/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  <w:lang w:val="ka-GE"/>
              </w:rPr>
              <w:t xml:space="preserve">                  </w:t>
            </w:r>
            <w:r w:rsidRPr="008E21AE">
              <w:rPr>
                <w:rFonts w:ascii="Sylfaen" w:hAnsi="Sylfaen"/>
                <w:b/>
                <w:bCs/>
                <w:noProof/>
                <w:color w:val="000000"/>
                <w:sz w:val="16"/>
                <w:szCs w:val="18"/>
              </w:rPr>
              <w:t>სულ 2019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ავსტრია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806.7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315.4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122.0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კუვეიტი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862.2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785.8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648.0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იაპონია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7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321.1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181.4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10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502.6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გერმანია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34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556.0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270.4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826.3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აშშ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242.0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328.5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570.5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სომხეთი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037.5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601.2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638.7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აზერბაიჯანი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639.7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590.4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230.1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ირანი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045.7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443.2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488.9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ყაზახეთი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841.2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182.6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14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023.8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ნიდერლანდები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318.5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64.0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382.4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რუსეთი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272.0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899.8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27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171.8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თურქეთი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056.8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246.3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6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303.1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უკრაინა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52.1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5.3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57.4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უზბეკეთი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57.0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5.8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62.9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საფრანგეთი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120.5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893.2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013.7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ჩინეთი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006.7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006.7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IDA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215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794.9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24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755.1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240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550.0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IBRD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36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053.7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59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366.9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95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420.6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IFAD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821.2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954.5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775.7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EBRD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28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069.9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947.1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017.0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EIB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141.4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083.1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17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224.4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ADB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143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071.7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42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279.7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185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351.5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IMF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117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110.5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828.6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118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939.1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EU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239.9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1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239.9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NEFCO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42.1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42.1</w:t>
            </w:r>
          </w:p>
        </w:tc>
      </w:tr>
      <w:tr w:rsidR="00300938" w:rsidRPr="008E21AE" w:rsidTr="008E21AE">
        <w:trPr>
          <w:trHeight w:val="300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Cs/>
                <w:iCs/>
                <w:noProof/>
                <w:color w:val="000000"/>
                <w:sz w:val="16"/>
                <w:szCs w:val="18"/>
              </w:rPr>
              <w:t>ევრობონდები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E97721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0.0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46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239.5</w:t>
            </w:r>
          </w:p>
        </w:tc>
        <w:tc>
          <w:tcPr>
            <w:tcW w:w="1187" w:type="pct"/>
            <w:noWrap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9356"/>
              </w:tabs>
              <w:ind w:right="277" w:firstLine="720"/>
              <w:jc w:val="right"/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46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  <w:lang w:val="ka-GE"/>
              </w:rPr>
              <w:t xml:space="preserve"> </w:t>
            </w:r>
            <w:r w:rsidRPr="008E21AE">
              <w:rPr>
                <w:rFonts w:ascii="Arial" w:hAnsi="Arial" w:cs="Arial"/>
                <w:bCs/>
                <w:iCs/>
                <w:noProof/>
                <w:color w:val="000000"/>
                <w:sz w:val="16"/>
                <w:szCs w:val="18"/>
              </w:rPr>
              <w:t>239.5</w:t>
            </w:r>
          </w:p>
        </w:tc>
      </w:tr>
      <w:tr w:rsidR="00300938" w:rsidRPr="008E21AE" w:rsidTr="008E21AE">
        <w:trPr>
          <w:trHeight w:val="294"/>
        </w:trPr>
        <w:tc>
          <w:tcPr>
            <w:tcW w:w="1439" w:type="pct"/>
            <w:hideMark/>
          </w:tcPr>
          <w:p w:rsidR="00300938" w:rsidRPr="008E21AE" w:rsidRDefault="00300938" w:rsidP="008E21AE">
            <w:pPr>
              <w:tabs>
                <w:tab w:val="left" w:pos="0"/>
                <w:tab w:val="left" w:pos="9356"/>
              </w:tabs>
              <w:ind w:right="319" w:firstLine="169"/>
              <w:jc w:val="center"/>
              <w:rPr>
                <w:rFonts w:ascii="Sylfaen" w:hAnsi="Sylfaen"/>
                <w:b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Sylfaen" w:hAnsi="Sylfaen"/>
                <w:b/>
                <w:bCs/>
                <w:iCs/>
                <w:noProof/>
                <w:color w:val="000000"/>
                <w:sz w:val="16"/>
                <w:szCs w:val="18"/>
              </w:rPr>
              <w:t>სულ</w:t>
            </w:r>
          </w:p>
        </w:tc>
        <w:tc>
          <w:tcPr>
            <w:tcW w:w="1187" w:type="pct"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358" w:firstLine="35"/>
              <w:jc w:val="right"/>
              <w:rPr>
                <w:rFonts w:ascii="Arial" w:hAnsi="Arial" w:cs="Arial"/>
                <w:b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/>
                <w:bCs/>
                <w:iCs/>
                <w:noProof/>
                <w:color w:val="000000"/>
                <w:sz w:val="16"/>
                <w:szCs w:val="18"/>
              </w:rPr>
              <w:t>690 298.8</w:t>
            </w:r>
          </w:p>
        </w:tc>
        <w:tc>
          <w:tcPr>
            <w:tcW w:w="1187" w:type="pct"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9356"/>
              </w:tabs>
              <w:ind w:right="175" w:firstLine="31"/>
              <w:jc w:val="right"/>
              <w:rPr>
                <w:rFonts w:ascii="Arial" w:hAnsi="Arial" w:cs="Arial"/>
                <w:b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/>
                <w:bCs/>
                <w:iCs/>
                <w:noProof/>
                <w:color w:val="000000"/>
                <w:sz w:val="16"/>
                <w:szCs w:val="18"/>
              </w:rPr>
              <w:t>218 549.8</w:t>
            </w:r>
          </w:p>
        </w:tc>
        <w:tc>
          <w:tcPr>
            <w:tcW w:w="1187" w:type="pct"/>
            <w:hideMark/>
          </w:tcPr>
          <w:p w:rsidR="00300938" w:rsidRPr="008E21AE" w:rsidRDefault="00300938" w:rsidP="00B62FE2">
            <w:pPr>
              <w:tabs>
                <w:tab w:val="left" w:pos="0"/>
                <w:tab w:val="left" w:pos="746"/>
                <w:tab w:val="left" w:pos="887"/>
                <w:tab w:val="left" w:pos="1032"/>
                <w:tab w:val="left" w:pos="9356"/>
              </w:tabs>
              <w:ind w:right="312"/>
              <w:jc w:val="right"/>
              <w:rPr>
                <w:rFonts w:ascii="Arial" w:hAnsi="Arial" w:cs="Arial"/>
                <w:b/>
                <w:bCs/>
                <w:iCs/>
                <w:noProof/>
                <w:color w:val="000000"/>
                <w:sz w:val="16"/>
                <w:szCs w:val="18"/>
              </w:rPr>
            </w:pPr>
            <w:r w:rsidRPr="008E21AE">
              <w:rPr>
                <w:rFonts w:ascii="Arial" w:hAnsi="Arial" w:cs="Arial"/>
                <w:b/>
                <w:bCs/>
                <w:iCs/>
                <w:noProof/>
                <w:color w:val="000000"/>
                <w:sz w:val="16"/>
                <w:szCs w:val="18"/>
              </w:rPr>
              <w:t>908 848.7</w:t>
            </w:r>
          </w:p>
        </w:tc>
      </w:tr>
    </w:tbl>
    <w:p w:rsidR="00B34FAA" w:rsidRDefault="00B34FAA" w:rsidP="000C416D">
      <w:pPr>
        <w:tabs>
          <w:tab w:val="left" w:pos="0"/>
          <w:tab w:val="left" w:pos="9356"/>
        </w:tabs>
        <w:spacing w:after="0" w:line="240" w:lineRule="auto"/>
        <w:ind w:right="852" w:firstLine="720"/>
        <w:jc w:val="right"/>
        <w:rPr>
          <w:rFonts w:ascii="Sylfaen" w:hAnsi="Sylfaen"/>
          <w:i/>
          <w:noProof/>
          <w:color w:val="000000"/>
          <w:sz w:val="16"/>
          <w:szCs w:val="18"/>
          <w:lang w:val="ka-GE"/>
        </w:rPr>
      </w:pPr>
    </w:p>
    <w:p w:rsidR="00C65B32" w:rsidRDefault="00C65B32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sz w:val="12"/>
          <w:szCs w:val="12"/>
          <w:lang w:val="ka-GE"/>
        </w:rPr>
      </w:pPr>
    </w:p>
    <w:p w:rsidR="009E33C4" w:rsidRPr="00B57E95" w:rsidRDefault="00B57E95" w:rsidP="00B57E95">
      <w:pPr>
        <w:tabs>
          <w:tab w:val="left" w:pos="720"/>
        </w:tabs>
        <w:spacing w:after="120" w:line="240" w:lineRule="auto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sz w:val="12"/>
          <w:szCs w:val="1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F4EC7" w:rsidRDefault="0096735A" w:rsidP="00D62E87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863DFC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02796C" w:rsidRPr="00164B20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00938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თვიანზე </w:t>
      </w:r>
      <w:r w:rsidR="00CA322C">
        <w:rPr>
          <w:rFonts w:ascii="Sylfaen" w:hAnsi="Sylfaen" w:cs="Sylfaen"/>
          <w:szCs w:val="21"/>
          <w:shd w:val="clear" w:color="auto" w:fill="FFFFFF"/>
        </w:rPr>
        <w:t>7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A322C">
        <w:rPr>
          <w:rFonts w:ascii="Sylfaen" w:hAnsi="Sylfaen" w:cs="Sylfaen"/>
          <w:szCs w:val="21"/>
          <w:shd w:val="clear" w:color="auto" w:fill="FFFFFF"/>
        </w:rPr>
        <w:t>0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 w:rsidR="00CA322C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A322C">
        <w:rPr>
          <w:rFonts w:ascii="Sylfaen" w:hAnsi="Sylfaen" w:cs="Sylfaen"/>
          <w:szCs w:val="21"/>
          <w:shd w:val="clear" w:color="auto" w:fill="FFFFFF"/>
        </w:rPr>
        <w:t>1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863DFC">
        <w:rPr>
          <w:rFonts w:ascii="Sylfaen" w:hAnsi="Sylfaen" w:cs="Sylfaen"/>
          <w:szCs w:val="21"/>
          <w:shd w:val="clear" w:color="auto" w:fill="FFFFFF"/>
        </w:rPr>
        <w:t>7</w:t>
      </w:r>
      <w:r w:rsidR="00CA322C">
        <w:rPr>
          <w:rFonts w:ascii="Sylfaen" w:hAnsi="Sylfaen" w:cs="Sylfaen"/>
          <w:szCs w:val="21"/>
          <w:shd w:val="clear" w:color="auto" w:fill="FFFFFF"/>
        </w:rPr>
        <w:t>.4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CA322C">
        <w:rPr>
          <w:rFonts w:ascii="Sylfaen" w:hAnsi="Sylfaen" w:cs="Sylfaen"/>
          <w:szCs w:val="21"/>
          <w:shd w:val="clear" w:color="auto" w:fill="FFFFFF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A322C">
        <w:rPr>
          <w:rFonts w:ascii="Sylfaen" w:hAnsi="Sylfaen" w:cs="Sylfaen"/>
          <w:szCs w:val="21"/>
          <w:shd w:val="clear" w:color="auto" w:fill="FFFFFF"/>
        </w:rPr>
        <w:t>2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B57E95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63DFC">
        <w:rPr>
          <w:rFonts w:ascii="Sylfaen" w:hAnsi="Sylfaen" w:cs="Sylfaen"/>
          <w:szCs w:val="21"/>
          <w:shd w:val="clear" w:color="auto" w:fill="FFFFFF"/>
        </w:rPr>
        <w:t>4</w:t>
      </w:r>
      <w:r w:rsidR="00567ACE" w:rsidRPr="00164B20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863DFC" w:rsidRDefault="00567ACE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ვალის ნაშთმა 201</w:t>
      </w:r>
      <w:r w:rsidR="00050EF1">
        <w:rPr>
          <w:rFonts w:ascii="Sylfaen" w:hAnsi="Sylfaen" w:cs="Sylfaen"/>
          <w:shd w:val="clear" w:color="auto" w:fill="FFFFFF"/>
          <w:lang w:val="ka-GE"/>
        </w:rPr>
        <w:t>9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863DFC">
        <w:rPr>
          <w:rFonts w:ascii="Sylfaen" w:hAnsi="Sylfaen" w:cs="Sylfaen"/>
          <w:szCs w:val="21"/>
          <w:shd w:val="clear" w:color="auto" w:fill="FFFFFF"/>
        </w:rPr>
        <w:t>30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A322C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 w:rsidR="00CA322C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>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CA322C">
        <w:rPr>
          <w:rFonts w:ascii="Sylfaen" w:hAnsi="Sylfaen" w:cs="Sylfaen"/>
          <w:shd w:val="clear" w:color="auto" w:fill="FFFFFF"/>
          <w:lang w:val="ka-GE"/>
        </w:rPr>
        <w:t>650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CA322C">
        <w:rPr>
          <w:rFonts w:ascii="Sylfaen" w:hAnsi="Sylfaen" w:cs="Sylfaen"/>
          <w:shd w:val="clear" w:color="auto" w:fill="FFFFFF"/>
          <w:lang w:val="ka-GE"/>
        </w:rPr>
        <w:t>8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="00994CC0">
        <w:rPr>
          <w:rFonts w:ascii="Sylfaen" w:hAnsi="Sylfaen" w:cs="Sylfaen"/>
          <w:shd w:val="clear" w:color="auto" w:fill="FFFFFF"/>
          <w:lang w:val="ka-GE"/>
        </w:rPr>
        <w:t>(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- </w:t>
      </w:r>
      <w:r w:rsidR="0039166F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CA322C">
        <w:rPr>
          <w:rFonts w:ascii="Sylfaen" w:hAnsi="Sylfaen" w:cs="Sylfaen"/>
          <w:shd w:val="clear" w:color="auto" w:fill="FFFFFF"/>
          <w:lang w:val="ka-GE"/>
        </w:rPr>
        <w:t>655</w:t>
      </w:r>
      <w:r w:rsidR="0044178B">
        <w:rPr>
          <w:rFonts w:ascii="Sylfaen" w:hAnsi="Sylfaen" w:cs="Sylfaen"/>
          <w:shd w:val="clear" w:color="auto" w:fill="FFFFFF"/>
          <w:lang w:val="ka-GE"/>
        </w:rPr>
        <w:t>.</w:t>
      </w:r>
      <w:r w:rsidR="00CA322C">
        <w:rPr>
          <w:rFonts w:ascii="Sylfaen" w:hAnsi="Sylfaen" w:cs="Sylfaen"/>
          <w:shd w:val="clear" w:color="auto" w:fill="FFFFFF"/>
          <w:lang w:val="ka-GE"/>
        </w:rPr>
        <w:t>9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CA322C">
        <w:rPr>
          <w:rFonts w:ascii="Sylfaen" w:hAnsi="Sylfaen"/>
          <w:szCs w:val="21"/>
          <w:shd w:val="clear" w:color="auto" w:fill="FFFFFF"/>
          <w:lang w:val="ka-GE"/>
        </w:rPr>
        <w:t>6.3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863DFC">
        <w:rPr>
          <w:rFonts w:ascii="Sylfaen" w:hAnsi="Sylfaen" w:cs="Sylfaen"/>
          <w:shd w:val="clear" w:color="auto" w:fill="FFFFFF"/>
          <w:lang w:val="ka-GE"/>
        </w:rPr>
        <w:t>3</w:t>
      </w:r>
      <w:r w:rsidR="00603BE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51277">
        <w:rPr>
          <w:rFonts w:ascii="Sylfaen" w:hAnsi="Sylfaen" w:cs="Sylfaen"/>
          <w:shd w:val="clear" w:color="auto" w:fill="FFFFFF"/>
          <w:lang w:val="ka-GE"/>
        </w:rPr>
        <w:t>243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E51277">
        <w:rPr>
          <w:rFonts w:ascii="Sylfaen" w:hAnsi="Sylfaen" w:cs="Sylfaen"/>
          <w:shd w:val="clear" w:color="auto" w:fill="FFFFFF"/>
          <w:lang w:val="ka-GE"/>
        </w:rPr>
        <w:t>6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863DFC">
        <w:rPr>
          <w:rFonts w:ascii="Sylfaen" w:hAnsi="Sylfaen" w:cs="Sylfaen"/>
          <w:shd w:val="clear" w:color="auto" w:fill="FFFFFF"/>
          <w:lang w:val="ka-GE"/>
        </w:rPr>
        <w:t>4</w:t>
      </w:r>
      <w:r w:rsidR="00E51277">
        <w:rPr>
          <w:rFonts w:ascii="Sylfaen" w:hAnsi="Sylfaen" w:cs="Sylfaen"/>
          <w:shd w:val="clear" w:color="auto" w:fill="FFFFFF"/>
          <w:lang w:val="ka-GE"/>
        </w:rPr>
        <w:t>0</w:t>
      </w:r>
      <w:r w:rsidR="00863DFC">
        <w:rPr>
          <w:rFonts w:ascii="Sylfaen" w:hAnsi="Sylfaen" w:cs="Sylfaen"/>
          <w:shd w:val="clear" w:color="auto" w:fill="FFFFFF"/>
          <w:lang w:val="ka-GE"/>
        </w:rPr>
        <w:t>0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 w:rsidR="00994CC0"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</w:t>
      </w:r>
      <w:r w:rsidR="00E51277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E51277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E51277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E51277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E51277">
        <w:rPr>
          <w:rFonts w:ascii="Sylfaen" w:hAnsi="Sylfaen"/>
          <w:szCs w:val="21"/>
          <w:shd w:val="clear" w:color="auto" w:fill="FFFFFF"/>
          <w:lang w:val="ka-GE"/>
        </w:rPr>
        <w:t>6.3</w:t>
      </w:r>
      <w:r w:rsidR="00E51277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E51277">
        <w:rPr>
          <w:rFonts w:ascii="Sylfaen" w:hAnsi="Sylfaen"/>
          <w:szCs w:val="21"/>
          <w:shd w:val="clear" w:color="auto" w:fill="FFFFFF"/>
          <w:lang w:val="ka-GE"/>
        </w:rPr>
        <w:t>ი.</w:t>
      </w:r>
    </w:p>
    <w:p w:rsidR="00863DFC" w:rsidRDefault="00863DFC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C65B32" w:rsidRDefault="00C65B32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C65B32" w:rsidRDefault="00C65B32" w:rsidP="00863DFC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</w:p>
    <w:p w:rsidR="00C65B32" w:rsidRDefault="00C65B32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C65B32" w:rsidRDefault="00C65B32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B2672E" w:rsidRDefault="00F26066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ფასიანი ქაღალდების დაუფარავი მოცულობა ნომინალებში ვადის და ტიპის მიხედვით 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F26066" w:rsidRDefault="0044178B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201</w:t>
      </w:r>
      <w:r w:rsidR="001E6B6E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9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F26066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წლის </w:t>
      </w:r>
      <w:r w:rsidR="00B2672E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</w:t>
      </w:r>
      <w:r w:rsidR="00164B20" w:rsidRPr="00B2672E">
        <w:rPr>
          <w:rFonts w:ascii="Sylfaen" w:hAnsi="Sylfaen" w:cs="Sylfaen"/>
          <w:b/>
          <w:sz w:val="20"/>
          <w:szCs w:val="20"/>
          <w:shd w:val="clear" w:color="auto" w:fill="FFFFFF"/>
        </w:rPr>
        <w:t xml:space="preserve"> </w:t>
      </w:r>
      <w:r w:rsidR="00E51277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სექტემბრის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F26066"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C65B32" w:rsidRPr="00B2672E" w:rsidRDefault="00C65B32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F26066" w:rsidRPr="004150CD" w:rsidRDefault="00F26066" w:rsidP="004150CD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4150CD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2993"/>
      </w:tblGrid>
      <w:tr w:rsidR="0044178B" w:rsidRPr="00B34FAA" w:rsidTr="008E21AE">
        <w:trPr>
          <w:trHeight w:val="428"/>
          <w:tblHeader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vAlign w:val="center"/>
            <w:hideMark/>
          </w:tcPr>
          <w:p w:rsidR="0044178B" w:rsidRPr="00E51277" w:rsidRDefault="001E6B6E" w:rsidP="00E51277">
            <w:pPr>
              <w:jc w:val="center"/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3,</w:t>
            </w:r>
            <w:r w:rsidR="00E51277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662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="00E51277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198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</w:t>
            </w:r>
            <w:r w:rsidR="00E51277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6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E51277">
            <w:pPr>
              <w:tabs>
                <w:tab w:val="left" w:pos="910"/>
                <w:tab w:val="center" w:pos="1431"/>
              </w:tabs>
              <w:rPr>
                <w:rFonts w:ascii="Sylfaen" w:hAnsi="Sylfaen" w:cs="Arial"/>
                <w:b/>
                <w:sz w:val="18"/>
                <w:szCs w:val="18"/>
                <w:lang w:val="ka-GE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ab/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ab/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3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="00E51277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255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 w:rsidR="00E51277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018</w:t>
            </w:r>
            <w:r w:rsidR="001E6B6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  <w:vAlign w:val="center"/>
          </w:tcPr>
          <w:p w:rsidR="0044178B" w:rsidRPr="00B34FAA" w:rsidRDefault="0039166F" w:rsidP="00D62E87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DD66EB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39166F" w:rsidP="00B57E95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="00B57E95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E51277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9</w:t>
            </w:r>
            <w:r w:rsidR="00E5127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0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57E95" w:rsidP="00E51277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</w:t>
            </w:r>
            <w:r w:rsidR="00E5127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262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</w:t>
            </w:r>
            <w:r w:rsidR="00E5127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498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E51277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4</w:t>
            </w:r>
            <w:r w:rsidR="00E5127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3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2</w:t>
            </w:r>
            <w:r w:rsidR="0039166F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,520.0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994CC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vAlign w:val="center"/>
          </w:tcPr>
          <w:p w:rsidR="0044178B" w:rsidRPr="00B34FAA" w:rsidRDefault="00E51277" w:rsidP="00D62E87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40</w:t>
            </w:r>
            <w:r w:rsidR="00B2672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0</w:t>
            </w:r>
            <w:r w:rsidR="00E513A2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44178B" w:rsidP="001E6B6E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 w:rsidR="001E6B6E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0,846.0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vAlign w:val="center"/>
            <w:hideMark/>
          </w:tcPr>
          <w:p w:rsidR="0044178B" w:rsidRPr="00B34FAA" w:rsidRDefault="00B2672E" w:rsidP="00E51277">
            <w:pPr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</w:t>
            </w:r>
            <w:r w:rsidR="00E51277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0</w:t>
            </w:r>
            <w:r w:rsidR="00E513A2" w:rsidRPr="00B34FA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,000.0</w:t>
            </w:r>
          </w:p>
        </w:tc>
      </w:tr>
      <w:tr w:rsidR="00B2672E" w:rsidRPr="00B34FAA" w:rsidTr="00B34FAA">
        <w:trPr>
          <w:trHeight w:val="288"/>
          <w:jc w:val="center"/>
        </w:trPr>
        <w:tc>
          <w:tcPr>
            <w:tcW w:w="3539" w:type="pct"/>
            <w:vAlign w:val="center"/>
          </w:tcPr>
          <w:p w:rsidR="00B2672E" w:rsidRPr="00B34FAA" w:rsidRDefault="00B2672E" w:rsidP="00B2672E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ნაშ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  <w:vAlign w:val="center"/>
          </w:tcPr>
          <w:p w:rsidR="00B2672E" w:rsidRPr="00E51277" w:rsidRDefault="00E51277" w:rsidP="00E51277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6</w:t>
            </w:r>
            <w:r w:rsidR="00B2672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334</w:t>
            </w:r>
            <w:r w:rsidR="00B2672E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6</w:t>
            </w:r>
          </w:p>
        </w:tc>
      </w:tr>
    </w:tbl>
    <w:p w:rsidR="00F26066" w:rsidRPr="00C367E2" w:rsidRDefault="00F26066" w:rsidP="00D62E8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D57A95" w:rsidRDefault="00D57A95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1E6B6E">
        <w:rPr>
          <w:rFonts w:ascii="Sylfaen" w:hAnsi="Sylfaen" w:cs="Sylfaen"/>
          <w:lang w:val="ka-GE"/>
        </w:rPr>
        <w:t>9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B2672E">
        <w:rPr>
          <w:rFonts w:ascii="Sylfaen" w:hAnsi="Sylfaen" w:cs="Sylfaen"/>
          <w:szCs w:val="18"/>
          <w:shd w:val="clear" w:color="auto" w:fill="FFFFFF"/>
          <w:lang w:val="ka-GE"/>
        </w:rPr>
        <w:t>30</w:t>
      </w:r>
      <w:r w:rsidR="00581B0F" w:rsidRPr="00581B0F">
        <w:rPr>
          <w:rFonts w:ascii="Sylfaen" w:hAnsi="Sylfaen" w:cs="Sylfaen"/>
          <w:szCs w:val="18"/>
          <w:shd w:val="clear" w:color="auto" w:fill="FFFFFF"/>
        </w:rPr>
        <w:t xml:space="preserve"> </w:t>
      </w:r>
      <w:r w:rsidR="00E51277">
        <w:rPr>
          <w:rFonts w:ascii="Sylfaen" w:hAnsi="Sylfaen" w:cs="Sylfaen"/>
          <w:szCs w:val="18"/>
          <w:shd w:val="clear" w:color="auto" w:fill="FFFFFF"/>
          <w:lang w:val="ka-GE"/>
        </w:rPr>
        <w:t>სექტემბრის</w:t>
      </w:r>
      <w:r w:rsidR="00581B0F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E51277" w:rsidRPr="00E51277">
        <w:rPr>
          <w:rFonts w:ascii="Sylfaen" w:hAnsi="Sylfaen" w:cs="Sylfaen"/>
          <w:lang w:val="ka-GE"/>
        </w:rPr>
        <w:t>1</w:t>
      </w:r>
      <w:r w:rsidR="00E51277">
        <w:rPr>
          <w:rFonts w:ascii="Sylfaen" w:hAnsi="Sylfaen" w:cs="Sylfaen"/>
          <w:lang w:val="ka-GE"/>
        </w:rPr>
        <w:t> </w:t>
      </w:r>
      <w:r w:rsidR="00E51277" w:rsidRPr="00E51277">
        <w:rPr>
          <w:rFonts w:ascii="Sylfaen" w:hAnsi="Sylfaen" w:cs="Sylfaen"/>
          <w:lang w:val="ka-GE"/>
        </w:rPr>
        <w:t>455</w:t>
      </w:r>
      <w:r w:rsidR="00E51277">
        <w:rPr>
          <w:rFonts w:ascii="Sylfaen" w:hAnsi="Sylfaen" w:cs="Sylfaen"/>
          <w:lang w:val="ka-GE"/>
        </w:rPr>
        <w:t xml:space="preserve"> </w:t>
      </w:r>
      <w:r w:rsidR="00E51277" w:rsidRPr="00E51277">
        <w:rPr>
          <w:rFonts w:ascii="Sylfaen" w:hAnsi="Sylfaen" w:cs="Sylfaen"/>
          <w:lang w:val="ka-GE"/>
        </w:rPr>
        <w:t>631</w:t>
      </w:r>
      <w:r w:rsidR="00E51277">
        <w:rPr>
          <w:rFonts w:ascii="Sylfaen" w:hAnsi="Sylfaen" w:cs="Sylfaen"/>
          <w:lang w:val="ka-GE"/>
        </w:rPr>
        <w:t>.</w:t>
      </w:r>
      <w:r w:rsidR="00E51277" w:rsidRPr="00E51277">
        <w:rPr>
          <w:rFonts w:ascii="Sylfaen" w:hAnsi="Sylfaen" w:cs="Sylfaen"/>
          <w:lang w:val="ka-GE"/>
        </w:rPr>
        <w:t>4</w:t>
      </w:r>
      <w:r w:rsidR="00B2672E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E51277" w:rsidRPr="00E51277">
        <w:rPr>
          <w:rFonts w:ascii="Sylfaen" w:hAnsi="Sylfaen" w:cs="Sylfaen"/>
          <w:lang w:val="ka-GE"/>
        </w:rPr>
        <w:t>1</w:t>
      </w:r>
      <w:r w:rsidR="00E51277">
        <w:rPr>
          <w:rFonts w:ascii="Sylfaen" w:hAnsi="Sylfaen" w:cs="Sylfaen"/>
          <w:lang w:val="ka-GE"/>
        </w:rPr>
        <w:t> </w:t>
      </w:r>
      <w:r w:rsidR="00E51277" w:rsidRPr="00E51277">
        <w:rPr>
          <w:rFonts w:ascii="Sylfaen" w:hAnsi="Sylfaen" w:cs="Sylfaen"/>
          <w:lang w:val="ka-GE"/>
        </w:rPr>
        <w:t>029</w:t>
      </w:r>
      <w:r w:rsidR="00E51277">
        <w:rPr>
          <w:rFonts w:ascii="Sylfaen" w:hAnsi="Sylfaen" w:cs="Sylfaen"/>
          <w:lang w:val="ka-GE"/>
        </w:rPr>
        <w:t xml:space="preserve"> </w:t>
      </w:r>
      <w:r w:rsidR="00E51277" w:rsidRPr="00E51277">
        <w:rPr>
          <w:rFonts w:ascii="Sylfaen" w:hAnsi="Sylfaen" w:cs="Sylfaen"/>
          <w:lang w:val="ka-GE"/>
        </w:rPr>
        <w:t>636</w:t>
      </w:r>
      <w:r w:rsidR="00E51277">
        <w:rPr>
          <w:rFonts w:ascii="Sylfaen" w:hAnsi="Sylfaen" w:cs="Sylfaen"/>
          <w:lang w:val="ka-GE"/>
        </w:rPr>
        <w:t xml:space="preserve">.9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FB7087">
        <w:rPr>
          <w:rFonts w:ascii="Sylfaen" w:hAnsi="Sylfaen" w:cs="Sylfaen"/>
          <w:szCs w:val="21"/>
          <w:shd w:val="clear" w:color="auto" w:fill="FFFFFF"/>
          <w:lang w:val="ka-GE"/>
        </w:rPr>
        <w:t>ზრდა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="00E51277" w:rsidRPr="00E51277">
        <w:rPr>
          <w:rFonts w:ascii="Sylfaen" w:hAnsi="Sylfaen" w:cs="Sylfaen"/>
          <w:lang w:val="ka-GE"/>
        </w:rPr>
        <w:t>425</w:t>
      </w:r>
      <w:r w:rsidR="00E51277">
        <w:rPr>
          <w:rFonts w:ascii="Sylfaen" w:hAnsi="Sylfaen" w:cs="Sylfaen"/>
          <w:lang w:val="ka-GE"/>
        </w:rPr>
        <w:t> </w:t>
      </w:r>
      <w:r w:rsidR="00E51277" w:rsidRPr="00E51277">
        <w:rPr>
          <w:rFonts w:ascii="Sylfaen" w:hAnsi="Sylfaen" w:cs="Sylfaen"/>
          <w:lang w:val="ka-GE"/>
        </w:rPr>
        <w:t>994</w:t>
      </w:r>
      <w:r w:rsidR="00E51277">
        <w:rPr>
          <w:rFonts w:ascii="Sylfaen" w:hAnsi="Sylfaen" w:cs="Sylfaen"/>
          <w:lang w:val="ka-GE"/>
        </w:rPr>
        <w:t>.</w:t>
      </w:r>
      <w:r w:rsidR="00E51277" w:rsidRPr="00E51277">
        <w:rPr>
          <w:rFonts w:ascii="Sylfaen" w:hAnsi="Sylfaen" w:cs="Sylfaen"/>
          <w:lang w:val="ka-GE"/>
        </w:rPr>
        <w:t>5</w:t>
      </w:r>
      <w:r w:rsidR="00E51277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Default="005E0A52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ობლიგაციები</w:t>
      </w:r>
      <w:r w:rsidR="00994CC0">
        <w:rPr>
          <w:rFonts w:ascii="Sylfaen" w:hAnsi="Sylfaen" w:cs="Sylfaen"/>
          <w:lang w:val="ka-GE"/>
        </w:rPr>
        <w:t xml:space="preserve"> ღია ბაზრის ოპერაციებისთვის</w:t>
      </w:r>
      <w:r w:rsidR="00F26066" w:rsidRPr="004464CC">
        <w:rPr>
          <w:rFonts w:ascii="Sylfaen" w:hAnsi="Sylfaen" w:cs="Sylfaen"/>
          <w:lang w:val="ka-GE"/>
        </w:rPr>
        <w:t xml:space="preserve"> ძირითადი თანხის დაფარვა (სებ-ის მიმართ ვალი) </w:t>
      </w:r>
      <w:r w:rsidR="00E51277">
        <w:rPr>
          <w:rFonts w:ascii="Sylfaen" w:hAnsi="Sylfaen" w:cs="Sylfaen"/>
          <w:lang w:val="ka-GE"/>
        </w:rPr>
        <w:t>3</w:t>
      </w:r>
      <w:r w:rsidR="00B2672E">
        <w:rPr>
          <w:rFonts w:ascii="Sylfaen" w:hAnsi="Sylfaen" w:cs="Sylfaen"/>
          <w:lang w:val="ka-GE"/>
        </w:rPr>
        <w:t>2</w:t>
      </w:r>
      <w:r w:rsidR="00603BE0">
        <w:rPr>
          <w:rFonts w:ascii="Sylfaen" w:hAnsi="Sylfaen" w:cs="Sylfaen"/>
          <w:lang w:val="ka-GE"/>
        </w:rPr>
        <w:t xml:space="preserve"> </w:t>
      </w:r>
      <w:r w:rsidR="00F26066" w:rsidRPr="00FB7087">
        <w:rPr>
          <w:rFonts w:ascii="Sylfaen" w:hAnsi="Sylfaen" w:cs="Sylfaen"/>
          <w:lang w:val="ka-GE"/>
        </w:rPr>
        <w:t>000.0 ათასი</w:t>
      </w:r>
      <w:r w:rsidR="00F26066" w:rsidRPr="004464CC">
        <w:rPr>
          <w:rFonts w:ascii="Sylfaen" w:hAnsi="Sylfaen" w:cs="Sylfaen"/>
          <w:lang w:val="ka-GE"/>
        </w:rPr>
        <w:t xml:space="preserve">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E97721" w:rsidRDefault="00E97721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C65B32" w:rsidRDefault="00C65B32" w:rsidP="00D62E87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4150CD" w:rsidRDefault="0075480C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მთავრობის</w:t>
      </w:r>
      <w:r w:rsidR="000340AB" w:rsidRPr="00B4160B">
        <w:rPr>
          <w:rFonts w:ascii="Sylfaen" w:hAnsi="Sylfaen"/>
          <w:b/>
          <w:lang w:val="ka-GE"/>
        </w:rPr>
        <w:t xml:space="preserve"> ვალის</w:t>
      </w:r>
      <w:r w:rsidR="000340AB"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1E6B6E">
        <w:rPr>
          <w:rFonts w:ascii="Sylfaen" w:hAnsi="Sylfaen"/>
          <w:b/>
        </w:rPr>
        <w:t>9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="000340AB" w:rsidRPr="00B4160B">
        <w:rPr>
          <w:rFonts w:ascii="Sylfaen" w:hAnsi="Sylfaen"/>
          <w:b/>
          <w:lang w:val="ka-GE"/>
        </w:rPr>
        <w:t xml:space="preserve">წლის </w:t>
      </w:r>
      <w:r w:rsidR="00B2672E">
        <w:rPr>
          <w:rFonts w:ascii="Sylfaen" w:hAnsi="Sylfaen"/>
          <w:b/>
          <w:lang w:val="ka-GE"/>
        </w:rPr>
        <w:t>30</w:t>
      </w:r>
      <w:r w:rsidR="00FA187E">
        <w:rPr>
          <w:rFonts w:ascii="Sylfaen" w:hAnsi="Sylfaen"/>
          <w:b/>
          <w:lang w:val="ka-GE"/>
        </w:rPr>
        <w:t xml:space="preserve"> </w:t>
      </w:r>
      <w:r w:rsidR="00CE3D1B">
        <w:rPr>
          <w:rFonts w:ascii="Sylfaen" w:hAnsi="Sylfaen"/>
          <w:b/>
          <w:lang w:val="ka-GE"/>
        </w:rPr>
        <w:t>სექტემბრის</w:t>
      </w:r>
      <w:r w:rsidR="00861F1F">
        <w:rPr>
          <w:rFonts w:ascii="Sylfaen" w:hAnsi="Sylfaen"/>
          <w:b/>
          <w:lang w:val="ka-GE"/>
        </w:rPr>
        <w:t xml:space="preserve"> </w:t>
      </w:r>
      <w:r w:rsidR="000340AB">
        <w:rPr>
          <w:rFonts w:ascii="Sylfaen" w:hAnsi="Sylfaen"/>
          <w:b/>
          <w:lang w:val="ka-GE"/>
        </w:rPr>
        <w:t>მდგომარეობით</w:t>
      </w:r>
    </w:p>
    <w:p w:rsidR="00E97721" w:rsidRDefault="00E97721" w:rsidP="00ED1C55">
      <w:pPr>
        <w:tabs>
          <w:tab w:val="left" w:pos="720"/>
        </w:tabs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p w:rsidR="008E21AE" w:rsidRDefault="000A553C" w:rsidP="000A553C">
      <w:pPr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</w:t>
      </w:r>
      <w:r w:rsidR="00C175C0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</w:t>
      </w:r>
      <w:r w:rsidR="004150CD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p w:rsidR="008E21AE" w:rsidRDefault="008E21AE" w:rsidP="000A553C">
      <w:pPr>
        <w:spacing w:after="0" w:line="240" w:lineRule="auto"/>
        <w:jc w:val="center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21"/>
        <w:gridCol w:w="2033"/>
      </w:tblGrid>
      <w:tr w:rsidR="008E21AE" w:rsidRPr="008E21AE" w:rsidTr="008E21AE">
        <w:trPr>
          <w:trHeight w:val="288"/>
          <w:tblHeader/>
        </w:trPr>
        <w:tc>
          <w:tcPr>
            <w:tcW w:w="3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30.09.2019</w:t>
            </w:r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8E21A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15,222,826.1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11,063,602.6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5,541,449.5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სოფლის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96,244.7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20,144.3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340,932.9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3,388,945.3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1,482,596.5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122,686.8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67,692.0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2,910.6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2,676,588.7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56,031.5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20,312.6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623.8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39,035.0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15,563.6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რუსეთი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158,907.3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22,323.9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354.5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323.7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42,617.4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3,732.1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910,744.1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640,561.9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27,841.6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2,004.6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57,452.0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678,159.1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1,477,600.0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1,477,600.0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5,034.8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5,034.8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3,650,783.0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240,846.0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ვადის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ღია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ბაზრის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160,000.0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565,430.3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8E21A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2,678,172.1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სესხის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სახით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ვალი</w:t>
            </w:r>
            <w:proofErr w:type="spellEnd"/>
            <w:r w:rsidRPr="008E21AE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6,334.6</w:t>
            </w:r>
          </w:p>
        </w:tc>
      </w:tr>
      <w:tr w:rsidR="008E21AE" w:rsidRPr="008E21AE" w:rsidTr="008E21AE">
        <w:trPr>
          <w:trHeight w:val="288"/>
        </w:trPr>
        <w:tc>
          <w:tcPr>
            <w:tcW w:w="3989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8E21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21A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21AE" w:rsidRPr="008E21AE" w:rsidRDefault="008E21AE" w:rsidP="008E21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E21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18,873,609.1</w:t>
            </w:r>
          </w:p>
        </w:tc>
      </w:tr>
    </w:tbl>
    <w:p w:rsidR="00C175C0" w:rsidRPr="00FB7087" w:rsidRDefault="00B62FE2" w:rsidP="000A553C">
      <w:pPr>
        <w:spacing w:after="0" w:line="240" w:lineRule="auto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br w:type="textWrapping" w:clear="all"/>
      </w:r>
    </w:p>
    <w:p w:rsidR="000340AB" w:rsidRPr="00AD6A17" w:rsidRDefault="000340AB" w:rsidP="00D62E87">
      <w:pPr>
        <w:spacing w:after="0" w:line="240" w:lineRule="auto"/>
        <w:rPr>
          <w:rFonts w:ascii="Sylfaen" w:hAnsi="Sylfaen" w:cs="Sylfaen"/>
          <w:i/>
          <w:sz w:val="16"/>
          <w:szCs w:val="16"/>
        </w:rPr>
      </w:pPr>
      <w:proofErr w:type="spellStart"/>
      <w:proofErr w:type="gramStart"/>
      <w:r w:rsidRPr="00B01FEA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Pr="00B01FEA">
        <w:rPr>
          <w:i/>
          <w:sz w:val="16"/>
          <w:szCs w:val="16"/>
        </w:rPr>
        <w:t xml:space="preserve">: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AD6A17" w:rsidSect="00C65B32">
      <w:footerReference w:type="default" r:id="rId11"/>
      <w:footerReference w:type="first" r:id="rId12"/>
      <w:pgSz w:w="11907" w:h="16839" w:code="9"/>
      <w:pgMar w:top="709" w:right="992" w:bottom="568" w:left="851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B5" w:rsidRDefault="007858B5" w:rsidP="00400BED">
      <w:pPr>
        <w:spacing w:after="0" w:line="240" w:lineRule="auto"/>
      </w:pPr>
      <w:r>
        <w:separator/>
      </w:r>
    </w:p>
  </w:endnote>
  <w:endnote w:type="continuationSeparator" w:id="0">
    <w:p w:rsidR="007858B5" w:rsidRDefault="007858B5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04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1AE" w:rsidRDefault="008E2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1AE" w:rsidRDefault="008E2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AE" w:rsidRPr="00137A54" w:rsidRDefault="008E21AE" w:rsidP="00137A54">
    <w:pPr>
      <w:pStyle w:val="ListParagraph"/>
      <w:numPr>
        <w:ilvl w:val="0"/>
        <w:numId w:val="12"/>
      </w:numPr>
      <w:rPr>
        <w:rFonts w:ascii="Sylfaen" w:hAnsi="Sylfaen"/>
        <w:b/>
        <w:sz w:val="16"/>
        <w:szCs w:val="16"/>
        <w:lang w:val="ka-GE"/>
      </w:rPr>
    </w:pPr>
    <w:r w:rsidRPr="00236683">
      <w:rPr>
        <w:rFonts w:ascii="Sylfaen" w:hAnsi="Sylfaen"/>
        <w:i/>
        <w:sz w:val="16"/>
        <w:szCs w:val="16"/>
        <w:lang w:val="ka-GE"/>
      </w:rPr>
      <w:t>შენიშნა: ვალის ნაშთი არ მოიცავს საქართველოს სახელმწიფო ვალის შესახებ კანონის 48-ე მუხლით გათვალისწინებულ ვალდებულებებს,</w:t>
    </w:r>
    <w:r w:rsidRPr="00137A54">
      <w:rPr>
        <w:rFonts w:ascii="Sylfaen" w:hAnsi="Sylfaen"/>
        <w:b/>
        <w:sz w:val="16"/>
        <w:szCs w:val="16"/>
        <w:lang w:val="ka-GE"/>
      </w:rPr>
      <w:t xml:space="preserve"> </w:t>
    </w:r>
    <w:r w:rsidRPr="001D01A5">
      <w:rPr>
        <w:rFonts w:ascii="Sylfaen" w:hAnsi="Sylfaen"/>
        <w:i/>
        <w:sz w:val="16"/>
        <w:szCs w:val="16"/>
        <w:lang w:val="ka-GE"/>
      </w:rPr>
      <w:t>ვინაიდან აღნიშნულ მაჩვენებელზე არ არსებობს სრულყოფილი ინფორმაცია</w:t>
    </w:r>
    <w:r w:rsidRPr="001D01A5">
      <w:rPr>
        <w:rFonts w:ascii="Sylfaen" w:hAnsi="Sylfaen"/>
        <w:i/>
        <w:sz w:val="16"/>
        <w:szCs w:val="16"/>
      </w:rPr>
      <w:t>;</w:t>
    </w:r>
  </w:p>
  <w:p w:rsidR="008E21AE" w:rsidRDefault="008E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B5" w:rsidRDefault="007858B5" w:rsidP="00400BED">
      <w:pPr>
        <w:spacing w:after="0" w:line="240" w:lineRule="auto"/>
      </w:pPr>
      <w:r>
        <w:separator/>
      </w:r>
    </w:p>
  </w:footnote>
  <w:footnote w:type="continuationSeparator" w:id="0">
    <w:p w:rsidR="007858B5" w:rsidRDefault="007858B5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13E"/>
    <w:rsid w:val="00074A14"/>
    <w:rsid w:val="0007502B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53C"/>
    <w:rsid w:val="000A5F64"/>
    <w:rsid w:val="000B0D2B"/>
    <w:rsid w:val="000B16F8"/>
    <w:rsid w:val="000B2189"/>
    <w:rsid w:val="000B4717"/>
    <w:rsid w:val="000B567A"/>
    <w:rsid w:val="000B6954"/>
    <w:rsid w:val="000B6CAA"/>
    <w:rsid w:val="000C139F"/>
    <w:rsid w:val="000C3566"/>
    <w:rsid w:val="000C416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58F4"/>
    <w:rsid w:val="001763B0"/>
    <w:rsid w:val="00181ECC"/>
    <w:rsid w:val="00182832"/>
    <w:rsid w:val="00187C1C"/>
    <w:rsid w:val="00190A72"/>
    <w:rsid w:val="00193364"/>
    <w:rsid w:val="00193C76"/>
    <w:rsid w:val="00197E9D"/>
    <w:rsid w:val="001A078F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36683"/>
    <w:rsid w:val="002402B6"/>
    <w:rsid w:val="0024105B"/>
    <w:rsid w:val="00242810"/>
    <w:rsid w:val="0024488E"/>
    <w:rsid w:val="00247C11"/>
    <w:rsid w:val="0025039F"/>
    <w:rsid w:val="00256FDD"/>
    <w:rsid w:val="00262BF3"/>
    <w:rsid w:val="00263EAD"/>
    <w:rsid w:val="00270120"/>
    <w:rsid w:val="00270C72"/>
    <w:rsid w:val="00274E21"/>
    <w:rsid w:val="002758CB"/>
    <w:rsid w:val="0027700A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E40E8"/>
    <w:rsid w:val="002F292C"/>
    <w:rsid w:val="002F4A36"/>
    <w:rsid w:val="002F5FB0"/>
    <w:rsid w:val="002F7144"/>
    <w:rsid w:val="00300306"/>
    <w:rsid w:val="00300938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6419C"/>
    <w:rsid w:val="00372A1B"/>
    <w:rsid w:val="00375F6E"/>
    <w:rsid w:val="00377B9F"/>
    <w:rsid w:val="00382167"/>
    <w:rsid w:val="003838EC"/>
    <w:rsid w:val="003849ED"/>
    <w:rsid w:val="00387352"/>
    <w:rsid w:val="0039166F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B47"/>
    <w:rsid w:val="003B68A7"/>
    <w:rsid w:val="003B775B"/>
    <w:rsid w:val="003C2AE8"/>
    <w:rsid w:val="003C3825"/>
    <w:rsid w:val="003C5912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E743D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50CD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209C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0CBB"/>
    <w:rsid w:val="004D17A6"/>
    <w:rsid w:val="004D26F9"/>
    <w:rsid w:val="004D3EA2"/>
    <w:rsid w:val="004D7B47"/>
    <w:rsid w:val="004E160B"/>
    <w:rsid w:val="004E2497"/>
    <w:rsid w:val="004E422E"/>
    <w:rsid w:val="004F2321"/>
    <w:rsid w:val="004F5AB2"/>
    <w:rsid w:val="0050185A"/>
    <w:rsid w:val="00501E22"/>
    <w:rsid w:val="00510802"/>
    <w:rsid w:val="005131CE"/>
    <w:rsid w:val="00515451"/>
    <w:rsid w:val="005165EB"/>
    <w:rsid w:val="00523377"/>
    <w:rsid w:val="00523560"/>
    <w:rsid w:val="0053140C"/>
    <w:rsid w:val="0053399C"/>
    <w:rsid w:val="005349CA"/>
    <w:rsid w:val="00534D33"/>
    <w:rsid w:val="0053506B"/>
    <w:rsid w:val="005370EC"/>
    <w:rsid w:val="0054275A"/>
    <w:rsid w:val="00543222"/>
    <w:rsid w:val="00544364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33C6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12D48"/>
    <w:rsid w:val="00615CCA"/>
    <w:rsid w:val="006168BD"/>
    <w:rsid w:val="006202AE"/>
    <w:rsid w:val="0062047A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1181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0590"/>
    <w:rsid w:val="006B1B1E"/>
    <w:rsid w:val="006B398B"/>
    <w:rsid w:val="006B3FC1"/>
    <w:rsid w:val="006C2FB0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2B91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20A8"/>
    <w:rsid w:val="00784855"/>
    <w:rsid w:val="0078542F"/>
    <w:rsid w:val="007858B5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5F93"/>
    <w:rsid w:val="00826C90"/>
    <w:rsid w:val="0083184C"/>
    <w:rsid w:val="008330FC"/>
    <w:rsid w:val="00834365"/>
    <w:rsid w:val="00836A37"/>
    <w:rsid w:val="00840241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3DFC"/>
    <w:rsid w:val="00864429"/>
    <w:rsid w:val="0086615D"/>
    <w:rsid w:val="00866340"/>
    <w:rsid w:val="00866C5D"/>
    <w:rsid w:val="00871B7C"/>
    <w:rsid w:val="00873FD3"/>
    <w:rsid w:val="0087661E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B343B"/>
    <w:rsid w:val="008B5C79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7651"/>
    <w:rsid w:val="008D7B2F"/>
    <w:rsid w:val="008E21AE"/>
    <w:rsid w:val="008E40B9"/>
    <w:rsid w:val="008E435A"/>
    <w:rsid w:val="008E772B"/>
    <w:rsid w:val="008F0B91"/>
    <w:rsid w:val="00903ED6"/>
    <w:rsid w:val="00905BCC"/>
    <w:rsid w:val="0090753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6B7"/>
    <w:rsid w:val="00982850"/>
    <w:rsid w:val="00982E29"/>
    <w:rsid w:val="00986AAF"/>
    <w:rsid w:val="009917B8"/>
    <w:rsid w:val="00991B14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33B48"/>
    <w:rsid w:val="00A36390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E57"/>
    <w:rsid w:val="00AD6A17"/>
    <w:rsid w:val="00AE3BBE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2672E"/>
    <w:rsid w:val="00B30876"/>
    <w:rsid w:val="00B3130D"/>
    <w:rsid w:val="00B32432"/>
    <w:rsid w:val="00B34FAA"/>
    <w:rsid w:val="00B44750"/>
    <w:rsid w:val="00B44900"/>
    <w:rsid w:val="00B460EB"/>
    <w:rsid w:val="00B502E6"/>
    <w:rsid w:val="00B5085B"/>
    <w:rsid w:val="00B55FD3"/>
    <w:rsid w:val="00B57E95"/>
    <w:rsid w:val="00B60154"/>
    <w:rsid w:val="00B61F3B"/>
    <w:rsid w:val="00B62FE2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38C"/>
    <w:rsid w:val="00BD1D05"/>
    <w:rsid w:val="00BD2A19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11D79"/>
    <w:rsid w:val="00C126E1"/>
    <w:rsid w:val="00C13117"/>
    <w:rsid w:val="00C136E3"/>
    <w:rsid w:val="00C15531"/>
    <w:rsid w:val="00C175C0"/>
    <w:rsid w:val="00C17F88"/>
    <w:rsid w:val="00C2136E"/>
    <w:rsid w:val="00C21AE9"/>
    <w:rsid w:val="00C31756"/>
    <w:rsid w:val="00C31F7F"/>
    <w:rsid w:val="00C3279B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5B32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2D73"/>
    <w:rsid w:val="00C9602D"/>
    <w:rsid w:val="00C9708E"/>
    <w:rsid w:val="00CA322C"/>
    <w:rsid w:val="00CA4A72"/>
    <w:rsid w:val="00CA65F9"/>
    <w:rsid w:val="00CA70A1"/>
    <w:rsid w:val="00CB2BCD"/>
    <w:rsid w:val="00CB36D7"/>
    <w:rsid w:val="00CB3F5C"/>
    <w:rsid w:val="00CB5065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3D1B"/>
    <w:rsid w:val="00CE5649"/>
    <w:rsid w:val="00CF0DA5"/>
    <w:rsid w:val="00CF3A41"/>
    <w:rsid w:val="00D01070"/>
    <w:rsid w:val="00D02027"/>
    <w:rsid w:val="00D0479D"/>
    <w:rsid w:val="00D04E46"/>
    <w:rsid w:val="00D05684"/>
    <w:rsid w:val="00D059C8"/>
    <w:rsid w:val="00D10101"/>
    <w:rsid w:val="00D1142C"/>
    <w:rsid w:val="00D12397"/>
    <w:rsid w:val="00D203DE"/>
    <w:rsid w:val="00D207EF"/>
    <w:rsid w:val="00D21BD3"/>
    <w:rsid w:val="00D2609D"/>
    <w:rsid w:val="00D261E7"/>
    <w:rsid w:val="00D26939"/>
    <w:rsid w:val="00D31A08"/>
    <w:rsid w:val="00D32336"/>
    <w:rsid w:val="00D3238E"/>
    <w:rsid w:val="00D32582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C1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52A"/>
    <w:rsid w:val="00DD2856"/>
    <w:rsid w:val="00DD66EB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052D"/>
    <w:rsid w:val="00E014B2"/>
    <w:rsid w:val="00E01ADA"/>
    <w:rsid w:val="00E01BC8"/>
    <w:rsid w:val="00E02C4C"/>
    <w:rsid w:val="00E07907"/>
    <w:rsid w:val="00E079D4"/>
    <w:rsid w:val="00E11336"/>
    <w:rsid w:val="00E14FE1"/>
    <w:rsid w:val="00E17E10"/>
    <w:rsid w:val="00E20D5F"/>
    <w:rsid w:val="00E2136D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277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0C3"/>
    <w:rsid w:val="00E81BCB"/>
    <w:rsid w:val="00E857B0"/>
    <w:rsid w:val="00E9045D"/>
    <w:rsid w:val="00E93712"/>
    <w:rsid w:val="00E97721"/>
    <w:rsid w:val="00EA293E"/>
    <w:rsid w:val="00EA2D25"/>
    <w:rsid w:val="00EA388F"/>
    <w:rsid w:val="00EA46B3"/>
    <w:rsid w:val="00EA65D7"/>
    <w:rsid w:val="00EB0470"/>
    <w:rsid w:val="00EB0989"/>
    <w:rsid w:val="00EB0EE9"/>
    <w:rsid w:val="00EB1B0E"/>
    <w:rsid w:val="00EB2E2F"/>
    <w:rsid w:val="00EB4097"/>
    <w:rsid w:val="00EB7421"/>
    <w:rsid w:val="00EC0C5D"/>
    <w:rsid w:val="00EC2EC2"/>
    <w:rsid w:val="00EC5B6F"/>
    <w:rsid w:val="00EC634D"/>
    <w:rsid w:val="00EC701B"/>
    <w:rsid w:val="00ED0545"/>
    <w:rsid w:val="00ED0857"/>
    <w:rsid w:val="00ED14F4"/>
    <w:rsid w:val="00ED1C55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7087"/>
    <w:rsid w:val="00FB723F"/>
    <w:rsid w:val="00FC40F7"/>
    <w:rsid w:val="00FD0340"/>
    <w:rsid w:val="00FD1BE5"/>
    <w:rsid w:val="00FD412B"/>
    <w:rsid w:val="00FD4331"/>
    <w:rsid w:val="00FD538A"/>
    <w:rsid w:val="00FD6622"/>
    <w:rsid w:val="00FD691A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379C5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June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19%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  <a:endParaRPr lang="ka-GE" sz="900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4973951117292478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/>
                      <a:t>ორმხრივი
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23302724672587"/>
                      <c:h val="0.1530965296004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b="0">
                        <a:solidFill>
                          <a:sysClr val="windowText" lastClr="000000"/>
                        </a:solidFill>
                      </a:rPr>
                      <a:t>ევრობონდი
8 %</a:t>
                    </a:r>
                    <a:endParaRPr lang="ka-GE" sz="900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  <a:endParaRPr lang="ka-GE" sz="900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51386760838"/>
          <c:y val="0.17510173613619398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dLbl>
              <c:idx val="0"/>
              <c:layout>
                <c:manualLayout>
                  <c:x val="-9.2817614548750899E-2"/>
                  <c:y val="-0.14226988379863481"/>
                </c:manualLayout>
              </c:layout>
              <c:tx>
                <c:rich>
                  <a:bodyPr/>
                  <a:lstStyle/>
                  <a:p>
                    <a:fld id="{82737498-9DFB-4C5B-97DF-27FC058FB40E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59%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08408236171314"/>
                      <c:h val="0.22850859238925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111-4977-804C-34D50D70DA1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7B180F-5D43-4F27-AC05-C88EB4EA4DB3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41%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111-4977-804C-34D50D70D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57533861778982"/>
          <c:y val="0.25790341207349082"/>
          <c:w val="0.70685416831257286"/>
          <c:h val="0.69605459317585305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7E72-4AD5-9956-34AE7C0EC15A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E72-4AD5-9956-34AE7C0EC15A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E72-4AD5-9956-34AE7C0EC15A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55CB177-BA8E-4C6C-A9DF-9DD3A87BA7C6}" type="CATEGORYNAME">
                      <a:rPr lang="en-US" sz="800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/>
                      <a:t> 27%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AD5-9956-34AE7C0EC15A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tx>
                <c:rich>
                  <a:bodyPr/>
                  <a:lstStyle/>
                  <a:p>
                    <a:fld id="{9B5BF100-2B27-4466-BB85-C06A77BF795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AD5-9956-34AE7C0EC15A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tx>
                <c:rich>
                  <a:bodyPr/>
                  <a:lstStyle/>
                  <a:p>
                    <a:fld id="{B6C6FC8D-2120-4194-90C4-E084DF22399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E72-4AD5-9956-34AE7C0EC15A}"/>
                </c:ext>
              </c:extLst>
            </c:dLbl>
            <c:dLbl>
              <c:idx val="3"/>
              <c:layout>
                <c:manualLayout>
                  <c:x val="2.2794792791369305E-2"/>
                  <c:y val="-6.9255643044619425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72-4AD5-9956-34AE7C0EC15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Jun!$M$37:$M$40</c:f>
              <c:numCache>
                <c:formatCode>0%</c:formatCode>
                <c:ptCount val="4"/>
                <c:pt idx="0">
                  <c:v>0.22068594522484139</c:v>
                </c:pt>
                <c:pt idx="1">
                  <c:v>0.39872968772600609</c:v>
                </c:pt>
                <c:pt idx="2">
                  <c:v>0.33676257184916791</c:v>
                </c:pt>
                <c:pt idx="3">
                  <c:v>4.3821795199984533E-2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72-4AD5-9956-34AE7C0EC15A}"/>
            </c:ext>
          </c:extLst>
        </c:ser>
        <c:ser>
          <c:idx val="1"/>
          <c:order val="1"/>
          <c:explosion val="25"/>
          <c:cat>
            <c:strRef>
              <c:f>Jun!$K$37:$K$40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Jun!$M$39:$M$42</c:f>
              <c:numCache>
                <c:formatCode>0%</c:formatCode>
                <c:ptCount val="4"/>
                <c:pt idx="0">
                  <c:v>0.33676257184916791</c:v>
                </c:pt>
                <c:pt idx="1">
                  <c:v>4.3821795199984533E-2</c:v>
                </c:pt>
                <c:pt idx="2" formatCode="0.0%">
                  <c:v>0.99999999999999989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AD5-9956-34AE7C0E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0.19676</cdr:x>
      <cdr:y>0</cdr:y>
    </cdr:from>
    <cdr:to>
      <cdr:x>0.90729</cdr:x>
      <cdr:y>0.13358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0371" y="0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</a:t>
          </a:r>
          <a:r>
            <a:rPr lang="ka-GE" sz="1000" b="0">
              <a:effectLst/>
              <a:latin typeface="+mn-lt"/>
              <a:ea typeface="+mn-ea"/>
              <a:cs typeface="+mn-cs"/>
            </a:rPr>
            <a:t>   </a:t>
          </a:r>
          <a:r>
            <a:rPr lang="ka-GE" sz="900" b="0">
              <a:effectLst/>
              <a:latin typeface="+mn-lt"/>
              <a:ea typeface="+mn-ea"/>
              <a:cs typeface="+mn-cs"/>
            </a:rPr>
            <a:t>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5187-E886-4EA0-A1E5-D19BEC34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4</cp:revision>
  <cp:lastPrinted>2019-10-24T12:50:00Z</cp:lastPrinted>
  <dcterms:created xsi:type="dcterms:W3CDTF">2019-10-24T13:29:00Z</dcterms:created>
  <dcterms:modified xsi:type="dcterms:W3CDTF">2019-10-28T12:15:00Z</dcterms:modified>
</cp:coreProperties>
</file>