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მთავრობის</w:t>
      </w:r>
      <w:r w:rsidR="005A44F5" w:rsidRPr="0057502A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510802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4D0CBB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4D0CBB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 w:rsidRPr="004D0CBB">
        <w:rPr>
          <w:rFonts w:ascii="Sylfaen" w:hAnsi="Sylfaen" w:cs="Sylfaen"/>
          <w:szCs w:val="21"/>
          <w:shd w:val="clear" w:color="auto" w:fill="FFFFFF"/>
        </w:rPr>
        <w:t>9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311D8A" w:rsidRPr="004D0CBB">
        <w:rPr>
          <w:rFonts w:ascii="Sylfaen" w:hAnsi="Sylfaen" w:cs="Sylfaen"/>
          <w:szCs w:val="21"/>
          <w:shd w:val="clear" w:color="auto" w:fill="FFFFFF"/>
        </w:rPr>
        <w:t>3</w:t>
      </w:r>
      <w:r w:rsidR="00D203DE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EB0EE9" w:rsidRPr="004D0CB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E743D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2402B6">
        <w:rPr>
          <w:rFonts w:ascii="Sylfaen" w:hAnsi="Sylfaen" w:cs="Sylfaen"/>
          <w:szCs w:val="21"/>
          <w:shd w:val="clear" w:color="auto" w:fill="FFFFFF"/>
        </w:rPr>
        <w:t>18</w:t>
      </w:r>
      <w:r w:rsidR="0087661E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E743D">
        <w:rPr>
          <w:rFonts w:ascii="Sylfaen" w:hAnsi="Sylfaen" w:cs="Sylfaen"/>
          <w:szCs w:val="21"/>
          <w:shd w:val="clear" w:color="auto" w:fill="FFFFFF"/>
          <w:lang w:val="ka-GE"/>
        </w:rPr>
        <w:t>873</w:t>
      </w:r>
      <w:r w:rsidR="00914D8C" w:rsidRPr="004D0CB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E743D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311D8A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4D0CBB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9B63F3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="000B4717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18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1758F4">
        <w:rPr>
          <w:rFonts w:ascii="Sylfaen" w:hAnsi="Sylfaen"/>
          <w:szCs w:val="21"/>
          <w:shd w:val="clear" w:color="auto" w:fill="FFFFFF"/>
          <w:lang w:val="ka-GE"/>
        </w:rPr>
        <w:t>867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.</w:t>
      </w:r>
      <w:r w:rsidR="001758F4">
        <w:rPr>
          <w:rFonts w:ascii="Sylfaen" w:hAnsi="Sylfaen"/>
          <w:szCs w:val="21"/>
          <w:shd w:val="clear" w:color="auto" w:fill="FFFFFF"/>
          <w:lang w:val="ka-GE"/>
        </w:rPr>
        <w:t>3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E43A7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3E43A7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B2672E">
        <w:rPr>
          <w:rFonts w:ascii="Sylfaen" w:hAnsi="Sylfaen"/>
          <w:szCs w:val="21"/>
          <w:shd w:val="clear" w:color="auto" w:fill="FFFFFF"/>
          <w:lang w:val="ka-GE"/>
        </w:rPr>
        <w:t>ი ვალის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0B4717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1758F4">
        <w:rPr>
          <w:rFonts w:ascii="Sylfaen" w:hAnsi="Sylfaen"/>
          <w:szCs w:val="21"/>
          <w:shd w:val="clear" w:color="auto" w:fill="FFFFFF"/>
          <w:lang w:val="ka-GE"/>
        </w:rPr>
        <w:t>6.3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510802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15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1758F4">
        <w:rPr>
          <w:rFonts w:ascii="Sylfaen" w:hAnsi="Sylfaen"/>
          <w:szCs w:val="21"/>
          <w:shd w:val="clear" w:color="auto" w:fill="FFFFFF"/>
          <w:lang w:val="ka-GE"/>
        </w:rPr>
        <w:t>222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>.</w:t>
      </w:r>
      <w:r w:rsidR="001758F4">
        <w:rPr>
          <w:rFonts w:ascii="Sylfaen" w:hAnsi="Sylfaen"/>
          <w:szCs w:val="21"/>
          <w:shd w:val="clear" w:color="auto" w:fill="FFFFFF"/>
          <w:lang w:val="ka-GE"/>
        </w:rPr>
        <w:t>8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51080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CB5065" w:rsidRPr="00274E21">
        <w:rPr>
          <w:rFonts w:ascii="Sylfaen" w:hAnsi="Sylfaen"/>
          <w:szCs w:val="21"/>
          <w:shd w:val="clear" w:color="auto" w:fill="FFFFFF"/>
          <w:lang w:val="ka-GE"/>
        </w:rPr>
        <w:t>8</w:t>
      </w:r>
      <w:r w:rsidR="003C5912">
        <w:rPr>
          <w:rFonts w:ascii="Sylfaen" w:hAnsi="Sylfaen"/>
          <w:szCs w:val="21"/>
          <w:shd w:val="clear" w:color="auto" w:fill="FFFFFF"/>
        </w:rPr>
        <w:t>0.7</w:t>
      </w:r>
      <w:bookmarkStart w:id="0" w:name="_GoBack"/>
      <w:bookmarkEnd w:id="0"/>
      <w:r w:rsidR="006F4202" w:rsidRPr="00274E21">
        <w:rPr>
          <w:rFonts w:ascii="Sylfaen" w:hAnsi="Sylfaen"/>
          <w:szCs w:val="21"/>
          <w:shd w:val="clear" w:color="auto" w:fill="FFFFFF"/>
        </w:rPr>
        <w:t>%-</w:t>
      </w:r>
      <w:r w:rsidR="006F4202" w:rsidRPr="00274E21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274E21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274E21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510802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დასაფინანსებლად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1758F4">
        <w:rPr>
          <w:rFonts w:ascii="Sylfaen" w:hAnsi="Sylfaen"/>
          <w:szCs w:val="21"/>
          <w:shd w:val="clear" w:color="auto" w:fill="FFFFFF"/>
          <w:lang w:val="ka-GE"/>
        </w:rPr>
        <w:t>22</w:t>
      </w:r>
      <w:r w:rsidR="002A3C73" w:rsidRPr="00A33B4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1758F4">
        <w:rPr>
          <w:rFonts w:ascii="Sylfaen" w:hAnsi="Sylfaen"/>
          <w:szCs w:val="21"/>
          <w:shd w:val="clear" w:color="auto" w:fill="FFFFFF"/>
          <w:lang w:val="ka-GE"/>
        </w:rPr>
        <w:t>0</w:t>
      </w:r>
      <w:r w:rsidR="00C126E1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</w:t>
      </w:r>
      <w:r w:rsidR="006F4202" w:rsidRPr="00300938">
        <w:rPr>
          <w:rFonts w:ascii="Sylfaen" w:hAnsi="Sylfaen"/>
          <w:szCs w:val="21"/>
          <w:shd w:val="clear" w:color="auto" w:fill="FFFFFF"/>
          <w:lang w:val="ka-GE"/>
        </w:rPr>
        <w:t xml:space="preserve">დაახლოებით </w:t>
      </w:r>
      <w:r w:rsidR="00DE4001" w:rsidRPr="00300938">
        <w:rPr>
          <w:rFonts w:ascii="Sylfaen" w:hAnsi="Sylfaen"/>
          <w:szCs w:val="21"/>
          <w:shd w:val="clear" w:color="auto" w:fill="FFFFFF"/>
        </w:rPr>
        <w:t xml:space="preserve"> </w:t>
      </w:r>
      <w:r w:rsidR="007820A8" w:rsidRPr="000B4717">
        <w:rPr>
          <w:rFonts w:ascii="Sylfaen" w:hAnsi="Sylfaen"/>
          <w:szCs w:val="21"/>
          <w:shd w:val="clear" w:color="auto" w:fill="FFFFFF"/>
        </w:rPr>
        <w:t>8.2</w:t>
      </w:r>
      <w:r w:rsidR="00C126E1" w:rsidRPr="0030093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300938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30093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30093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CB36D7" w:rsidRPr="00274E21">
        <w:rPr>
          <w:rFonts w:ascii="Sylfaen" w:hAnsi="Sylfaen" w:cs="Sylfaen"/>
          <w:szCs w:val="21"/>
          <w:shd w:val="clear" w:color="auto" w:fill="FFFFFF"/>
          <w:lang w:val="ka-GE"/>
        </w:rPr>
        <w:t>2.</w:t>
      </w:r>
      <w:r w:rsidR="00274E21" w:rsidRPr="00274E21">
        <w:rPr>
          <w:rFonts w:ascii="Sylfaen" w:hAnsi="Sylfaen" w:cs="Sylfaen"/>
          <w:szCs w:val="21"/>
          <w:shd w:val="clear" w:color="auto" w:fill="FFFFFF"/>
        </w:rPr>
        <w:t>14</w:t>
      </w:r>
      <w:r w:rsidR="006F4202" w:rsidRPr="00274E21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C0704" w:rsidRDefault="00784855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>
        <w:rPr>
          <w:rFonts w:ascii="Sylfaen" w:hAnsi="Sylfaen"/>
          <w:b/>
          <w:szCs w:val="18"/>
          <w:shd w:val="clear" w:color="auto" w:fill="FFFFFF"/>
          <w:lang w:val="ka-GE"/>
        </w:rPr>
        <w:t>9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CB5065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1758F4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4C070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1AE" w:rsidRPr="00A33B48" w:rsidRDefault="008E21A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8E21AE" w:rsidRPr="00A33B48" w:rsidRDefault="008E21A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14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8E21AE" w:rsidRPr="00A33B48" w:rsidRDefault="008E21A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8E21AE" w:rsidRPr="00DE4001" w:rsidRDefault="008E21A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820A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274E21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8E21AE" w:rsidRPr="00A33B48" w:rsidRDefault="008E21A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8E21AE" w:rsidRPr="00A33B48" w:rsidRDefault="008E21A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14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8E21AE" w:rsidRPr="00A33B48" w:rsidRDefault="008E21A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0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8E21AE" w:rsidRPr="00DE4001" w:rsidRDefault="008E21A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7820A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Pr="00274E21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4C0704">
        <w:rPr>
          <w:rFonts w:ascii="Sylfaen" w:hAnsi="Sylfaen"/>
          <w:lang w:val="ka-GE"/>
        </w:rPr>
        <w:t xml:space="preserve"> </w:t>
      </w:r>
      <w:r w:rsidR="00DE4001" w:rsidRPr="00544364">
        <w:rPr>
          <w:noProof/>
          <w:sz w:val="18"/>
          <w:szCs w:val="18"/>
        </w:rPr>
        <w:drawing>
          <wp:inline distT="0" distB="0" distL="0" distR="0" wp14:anchorId="20933C21" wp14:editId="4B767450">
            <wp:extent cx="4218323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7E9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Pr="001C5235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CB5065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00938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274E21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274E21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B5065" w:rsidRPr="00274E21">
        <w:rPr>
          <w:rFonts w:ascii="Sylfaen" w:hAnsi="Sylfaen" w:cs="Sylfaen"/>
          <w:szCs w:val="21"/>
          <w:shd w:val="clear" w:color="auto" w:fill="FFFFFF"/>
          <w:lang w:val="ka-GE"/>
        </w:rPr>
        <w:t>59</w:t>
      </w:r>
      <w:r w:rsidR="006F4202" w:rsidRPr="00274E21">
        <w:rPr>
          <w:rFonts w:ascii="Sylfaen" w:hAnsi="Sylfaen" w:cs="Sylfaen"/>
          <w:szCs w:val="21"/>
          <w:shd w:val="clear" w:color="auto" w:fill="FFFFFF"/>
        </w:rPr>
        <w:t>%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6F4202" w:rsidRPr="0036419C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36419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</w:t>
      </w:r>
      <w:r w:rsidR="006F4202" w:rsidRPr="00274E21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</w:t>
      </w:r>
      <w:r w:rsidR="00274E21" w:rsidRPr="00274E21">
        <w:rPr>
          <w:rFonts w:ascii="Sylfaen" w:hAnsi="Sylfaen" w:cs="Sylfaen"/>
          <w:szCs w:val="21"/>
          <w:shd w:val="clear" w:color="auto" w:fill="FFFFFF"/>
          <w:lang w:val="ka-GE"/>
        </w:rPr>
        <w:t>33</w:t>
      </w:r>
      <w:r w:rsidR="006F4202" w:rsidRPr="00274E21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274E21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274E21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7509F" w:rsidRDefault="00236683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8EEFE" wp14:editId="60D53627">
            <wp:simplePos x="0" y="0"/>
            <wp:positionH relativeFrom="page">
              <wp:posOffset>4076207</wp:posOffset>
            </wp:positionH>
            <wp:positionV relativeFrom="paragraph">
              <wp:posOffset>165204</wp:posOffset>
            </wp:positionV>
            <wp:extent cx="2440940" cy="1868805"/>
            <wp:effectExtent l="0" t="0" r="35560" b="0"/>
            <wp:wrapThrough wrapText="bothSides">
              <wp:wrapPolygon edited="0">
                <wp:start x="0" y="0"/>
                <wp:lineTo x="0" y="21358"/>
                <wp:lineTo x="21746" y="21358"/>
                <wp:lineTo x="21746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539143</wp:posOffset>
            </wp:positionH>
            <wp:positionV relativeFrom="paragraph">
              <wp:posOffset>140922</wp:posOffset>
            </wp:positionV>
            <wp:extent cx="2847975" cy="1905000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70C98" w:rsidRPr="0057502A">
        <w:rPr>
          <w:rFonts w:ascii="Sylfaen" w:hAnsi="Sylfaen"/>
          <w:lang w:val="ka-GE"/>
        </w:rPr>
        <w:t xml:space="preserve">  </w:t>
      </w:r>
    </w:p>
    <w:p w:rsid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04141">
        <w:rPr>
          <w:rFonts w:ascii="Sylfaen" w:hAnsi="Sylfaen"/>
          <w:b/>
          <w:lang w:val="ka-GE"/>
        </w:rPr>
        <w:t xml:space="preserve"> საგარეო ვალის სტრუქტურა - </w:t>
      </w:r>
      <w:r>
        <w:rPr>
          <w:rFonts w:ascii="Sylfaen" w:hAnsi="Sylfaen"/>
          <w:b/>
          <w:lang w:val="ka-GE"/>
        </w:rPr>
        <w:t>2019</w:t>
      </w:r>
      <w:r w:rsidR="00E46C45" w:rsidRPr="00F53863">
        <w:rPr>
          <w:rFonts w:ascii="Sylfaen" w:hAnsi="Sylfaen"/>
          <w:b/>
          <w:lang w:val="ka-GE"/>
        </w:rPr>
        <w:t xml:space="preserve"> წლის </w:t>
      </w:r>
      <w:r w:rsidR="00CB5065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1757D3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300938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1757D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F53863">
        <w:rPr>
          <w:rFonts w:ascii="Sylfaen" w:hAnsi="Sylfaen"/>
          <w:b/>
          <w:lang w:val="ka-GE"/>
        </w:rPr>
        <w:t xml:space="preserve"> </w:t>
      </w:r>
      <w:r w:rsidR="00071D1D" w:rsidRPr="00B04141">
        <w:rPr>
          <w:rFonts w:ascii="Sylfaen" w:hAnsi="Sylfaen"/>
          <w:b/>
          <w:lang w:val="ka-GE"/>
        </w:rPr>
        <w:t>მდგომარეობით</w:t>
      </w:r>
    </w:p>
    <w:p w:rsidR="00274E21" w:rsidRDefault="00274E21" w:rsidP="00D62E87">
      <w:pPr>
        <w:tabs>
          <w:tab w:val="left" w:pos="360"/>
        </w:tabs>
        <w:spacing w:after="0" w:line="240" w:lineRule="auto"/>
        <w:jc w:val="center"/>
      </w:pPr>
      <w:r>
        <w:rPr>
          <w:lang w:val="ka-GE"/>
        </w:rPr>
        <w:fldChar w:fldCharType="begin"/>
      </w:r>
      <w:r>
        <w:rPr>
          <w:lang w:val="ka-GE"/>
        </w:rPr>
        <w:instrText xml:space="preserve"> LINK Excel.Sheet.12 "C:\\Users\\l.phirtskhalaishvili\\AppData\\Local\\Microsoft\\Windows\\INetCache\\Content.Outlook\\Z2EX8TKM\\Average Weighted Interest Rate_2019 SEP.xlsx" "SEP (GVT-GE)!R5C2:R108C9" \a \f 4 \h </w:instrText>
      </w:r>
      <w:r w:rsidR="00C65B32">
        <w:rPr>
          <w:lang w:val="ka-GE"/>
        </w:rPr>
        <w:instrText xml:space="preserve"> \* MERGEFORMAT </w:instrText>
      </w:r>
      <w:r>
        <w:rPr>
          <w:lang w:val="ka-GE"/>
        </w:rPr>
        <w:fldChar w:fldCharType="separate"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909"/>
        <w:gridCol w:w="1373"/>
        <w:gridCol w:w="1301"/>
        <w:gridCol w:w="1354"/>
        <w:gridCol w:w="1060"/>
        <w:gridCol w:w="1058"/>
      </w:tblGrid>
      <w:tr w:rsidR="00274E21" w:rsidRPr="00274E21" w:rsidTr="003C5912">
        <w:trPr>
          <w:trHeight w:val="691"/>
          <w:tblHeader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47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27" w:type="pct"/>
            <w:shd w:val="clear" w:color="000000" w:fill="FFFFFF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30.09.2019 </w:t>
            </w:r>
          </w:p>
        </w:tc>
        <w:tc>
          <w:tcPr>
            <w:tcW w:w="526" w:type="pct"/>
            <w:shd w:val="clear" w:color="000000" w:fill="FFFFFF"/>
            <w:vAlign w:val="bottom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74E21" w:rsidRPr="00274E21" w:rsidTr="003C5912">
        <w:trPr>
          <w:trHeight w:val="330"/>
        </w:trPr>
        <w:tc>
          <w:tcPr>
            <w:tcW w:w="1944" w:type="pct"/>
            <w:gridSpan w:val="2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სახელმწიფო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          5 151 200 </w:t>
            </w:r>
          </w:p>
        </w:tc>
        <w:tc>
          <w:tcPr>
            <w:tcW w:w="647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     15 222 826 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274E21" w:rsidRPr="00274E21" w:rsidTr="003C5912">
        <w:trPr>
          <w:trHeight w:val="402"/>
        </w:trPr>
        <w:tc>
          <w:tcPr>
            <w:tcW w:w="1944" w:type="pct"/>
            <w:gridSpan w:val="2"/>
            <w:shd w:val="clear" w:color="auto" w:fill="DBE5F1" w:themeFill="accent1" w:themeFillTint="33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83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3 743 775 </w:t>
            </w:r>
          </w:p>
        </w:tc>
        <w:tc>
          <w:tcPr>
            <w:tcW w:w="647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11 063 603 </w:t>
            </w:r>
          </w:p>
        </w:tc>
        <w:tc>
          <w:tcPr>
            <w:tcW w:w="673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>(WB - IDA)</w:t>
            </w:r>
          </w:p>
        </w:tc>
        <w:tc>
          <w:tcPr>
            <w:tcW w:w="452" w:type="pct"/>
            <w:vMerge w:val="restar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720 805 </w:t>
            </w:r>
          </w:p>
        </w:tc>
        <w:tc>
          <w:tcPr>
            <w:tcW w:w="64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2 130 123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0.105%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239 643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708 193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0.093%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9 333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27 582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>(WB - IBRD)</w:t>
            </w:r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48 726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143 996 </w:t>
            </w:r>
          </w:p>
        </w:tc>
        <w:tc>
          <w:tcPr>
            <w:tcW w:w="673" w:type="pct"/>
            <w:vMerge w:val="restart"/>
            <w:shd w:val="clear" w:color="000000" w:fill="FFFFFF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r w:rsidRPr="00274E21">
              <w:rPr>
                <w:rFonts w:ascii="Calibri" w:eastAsia="Times New Roman" w:hAnsi="Calibri" w:cs="Calibri"/>
                <w:sz w:val="12"/>
                <w:szCs w:val="12"/>
              </w:rPr>
              <w:t>EURIBOR + Var. Spread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0.66%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shd w:val="clear" w:color="auto" w:fill="auto"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53 798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158 984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0.77%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171 958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508 171 </w:t>
            </w:r>
          </w:p>
        </w:tc>
        <w:tc>
          <w:tcPr>
            <w:tcW w:w="673" w:type="pct"/>
            <w:vMerge w:val="restart"/>
            <w:shd w:val="clear" w:color="000000" w:fill="FFFFFF"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LIBOR + Variable Spread 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0.083%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45 551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134 612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2.70%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0.024%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30 635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90 532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2.74%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0.016%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151 013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446 274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2.90%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0.085%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131 526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388 685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3.02%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0.077%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25 937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76 650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3.04%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22 114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65 352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3.29%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47 332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139 875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3.31%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0.030%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18 517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54 722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3.32%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9 474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27 998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3.33%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25 469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75 267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3.44%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3C5912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123 320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364 436 </w:t>
            </w:r>
          </w:p>
        </w:tc>
        <w:tc>
          <w:tcPr>
            <w:tcW w:w="673" w:type="pct"/>
            <w:vMerge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3.64%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3C5912" w:rsidRPr="00274E21" w:rsidRDefault="003C5912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0.087%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სოფლის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მეურნეობის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18 166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53 683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10 263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30 329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274E21" w:rsidRPr="00274E21" w:rsidTr="003C5912">
        <w:trPr>
          <w:trHeight w:val="566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4 140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12 233 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1.15%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274E21" w:rsidRPr="00274E21" w:rsidTr="003C5912">
        <w:trPr>
          <w:trHeight w:val="420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სავალუტო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(SBA )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6 817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20 144 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1.81%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274E21" w:rsidRPr="00274E21" w:rsidTr="003C5912">
        <w:trPr>
          <w:trHeight w:val="28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ევროგაერთიანება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10 925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32 286 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274E21" w:rsidRPr="00274E21" w:rsidTr="003C5912">
        <w:trPr>
          <w:trHeight w:val="28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14 203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41 972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274E21" w:rsidRPr="00274E21" w:rsidTr="003C5912">
        <w:trPr>
          <w:trHeight w:val="28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16 388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48 429 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274E21" w:rsidRPr="00274E21" w:rsidTr="003C5912">
        <w:trPr>
          <w:trHeight w:val="510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რეკონსტრუქციის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115 367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340 933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EURIBOR+ 1%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0.77%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274E21" w:rsidRPr="00274E21" w:rsidTr="003C5912">
        <w:trPr>
          <w:trHeight w:val="240"/>
        </w:trPr>
        <w:tc>
          <w:tcPr>
            <w:tcW w:w="1492" w:type="pct"/>
            <w:vMerge w:val="restart"/>
            <w:shd w:val="clear" w:color="auto" w:fill="auto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61 354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181 314 </w:t>
            </w:r>
          </w:p>
        </w:tc>
        <w:tc>
          <w:tcPr>
            <w:tcW w:w="673" w:type="pct"/>
            <w:vMerge w:val="restar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274E21" w:rsidRPr="00274E21" w:rsidTr="003C5912">
        <w:trPr>
          <w:trHeight w:val="24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353 128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1 043 563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0.103%</w:t>
            </w:r>
          </w:p>
        </w:tc>
      </w:tr>
      <w:tr w:rsidR="00274E21" w:rsidRPr="00274E21" w:rsidTr="003C5912">
        <w:trPr>
          <w:trHeight w:val="24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38 740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114 483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274E21" w:rsidRPr="00274E21" w:rsidTr="003C5912">
        <w:trPr>
          <w:trHeight w:val="21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226 920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670 593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0.088%</w:t>
            </w:r>
          </w:p>
        </w:tc>
      </w:tr>
      <w:tr w:rsidR="00274E21" w:rsidRPr="00274E21" w:rsidTr="003C5912">
        <w:trPr>
          <w:trHeight w:val="42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85 143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251 616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0.40%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274E21" w:rsidRPr="00274E21" w:rsidTr="003C5912">
        <w:trPr>
          <w:trHeight w:val="18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50 000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147 760 </w:t>
            </w:r>
          </w:p>
        </w:tc>
        <w:tc>
          <w:tcPr>
            <w:tcW w:w="673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2.34%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0.023%</w:t>
            </w:r>
          </w:p>
        </w:tc>
      </w:tr>
      <w:tr w:rsidR="00274E21" w:rsidRPr="00274E21" w:rsidTr="003C5912">
        <w:trPr>
          <w:trHeight w:val="18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73 511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217 239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2.60%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0.037%</w:t>
            </w:r>
          </w:p>
        </w:tc>
      </w:tr>
      <w:tr w:rsidR="00274E21" w:rsidRPr="00274E21" w:rsidTr="003C5912">
        <w:trPr>
          <w:trHeight w:val="18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45 312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133 907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2.62%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0.023%</w:t>
            </w:r>
          </w:p>
        </w:tc>
      </w:tr>
      <w:tr w:rsidR="00274E21" w:rsidRPr="00274E21" w:rsidTr="003C5912">
        <w:trPr>
          <w:trHeight w:val="18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50 000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147 760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2.68%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0.026%</w:t>
            </w:r>
          </w:p>
        </w:tc>
      </w:tr>
      <w:tr w:rsidR="00274E21" w:rsidRPr="00274E21" w:rsidTr="003C5912">
        <w:trPr>
          <w:trHeight w:val="18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28 007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82 767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2.74%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39 046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115 388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2.80%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0.021%</w:t>
            </w:r>
          </w:p>
        </w:tc>
      </w:tr>
      <w:tr w:rsidR="00274E21" w:rsidRPr="00274E21" w:rsidTr="003C5912">
        <w:trPr>
          <w:trHeight w:val="18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14 000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41 373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3.08%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274E21" w:rsidRPr="00274E21" w:rsidTr="003C5912">
        <w:trPr>
          <w:trHeight w:val="18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53 797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158 981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3.23%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0.034%</w:t>
            </w:r>
          </w:p>
        </w:tc>
      </w:tr>
      <w:tr w:rsidR="00274E21" w:rsidRPr="00274E21" w:rsidTr="003C5912">
        <w:trPr>
          <w:trHeight w:val="18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10 080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29 789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3.30%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274E21" w:rsidRPr="00274E21" w:rsidTr="003C5912">
        <w:trPr>
          <w:trHeight w:val="180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17 736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52 412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3.33%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274E21" w:rsidRPr="00274E21" w:rsidTr="003C5912">
        <w:trPr>
          <w:trHeight w:val="540"/>
        </w:trPr>
        <w:tc>
          <w:tcPr>
            <w:tcW w:w="1492" w:type="pct"/>
            <w:shd w:val="clear" w:color="auto" w:fill="auto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ინფრასტრუქტურის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22 906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67 692 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4.08%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274E21" w:rsidRPr="00274E21" w:rsidTr="003C5912">
        <w:trPr>
          <w:trHeight w:val="540"/>
        </w:trPr>
        <w:tc>
          <w:tcPr>
            <w:tcW w:w="1492" w:type="pct"/>
            <w:shd w:val="clear" w:color="auto" w:fill="auto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ევროსაბჭოს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  985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2 911 </w:t>
            </w:r>
          </w:p>
        </w:tc>
        <w:tc>
          <w:tcPr>
            <w:tcW w:w="673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Euribor</w:t>
            </w:r>
            <w:proofErr w:type="spellEnd"/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+ Variable Spread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0.21%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საინვესტიციო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>(EIB)</w:t>
            </w:r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9 124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26 964 </w:t>
            </w:r>
          </w:p>
        </w:tc>
        <w:tc>
          <w:tcPr>
            <w:tcW w:w="673" w:type="pct"/>
            <w:vMerge w:val="restar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21 850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64 572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0.87%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10 925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32 286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25 375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74 987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21 850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64 572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1.94%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256 741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758 721 </w:t>
            </w:r>
          </w:p>
        </w:tc>
        <w:tc>
          <w:tcPr>
            <w:tcW w:w="673" w:type="pct"/>
            <w:vMerge w:val="restar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21 850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64 572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0.15%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3 278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9 686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0.51%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81 438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240 666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10 591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31 299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0.58%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38 668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114 271 </w:t>
            </w:r>
          </w:p>
        </w:tc>
        <w:tc>
          <w:tcPr>
            <w:tcW w:w="673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0.59%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274E21" w:rsidRPr="00274E21" w:rsidTr="003C5912">
        <w:trPr>
          <w:trHeight w:val="360"/>
        </w:trPr>
        <w:tc>
          <w:tcPr>
            <w:tcW w:w="1492" w:type="pct"/>
            <w:shd w:val="clear" w:color="auto" w:fill="DBE5F1" w:themeFill="accent1" w:themeFillTint="33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lastRenderedPageBreak/>
              <w:t>ორმხრივი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452" w:type="pct"/>
            <w:shd w:val="clear" w:color="auto" w:fill="DBE5F1" w:themeFill="accent1" w:themeFillTint="33"/>
            <w:vAlign w:val="center"/>
            <w:hideMark/>
          </w:tcPr>
          <w:p w:rsidR="00274E21" w:rsidRPr="00C65B32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Cs/>
                <w:sz w:val="16"/>
                <w:szCs w:val="16"/>
              </w:rPr>
            </w:pPr>
            <w:r w:rsidRPr="00C65B32">
              <w:rPr>
                <w:rFonts w:ascii="Calibri" w:eastAsia="Times New Roman" w:hAnsi="Calibri" w:cs="Calibri"/>
                <w:bCs/>
                <w:sz w:val="16"/>
                <w:szCs w:val="16"/>
              </w:rPr>
              <w:t> </w:t>
            </w:r>
          </w:p>
        </w:tc>
        <w:tc>
          <w:tcPr>
            <w:tcW w:w="683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    905 722 </w:t>
            </w:r>
          </w:p>
        </w:tc>
        <w:tc>
          <w:tcPr>
            <w:tcW w:w="647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2 676 589 </w:t>
            </w:r>
          </w:p>
        </w:tc>
        <w:tc>
          <w:tcPr>
            <w:tcW w:w="673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18 960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56 032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6 874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20 313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  211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624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13 209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39 035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5 267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15 564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53 772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158 907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0.042%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7 554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22 324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  120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355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  110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324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14 421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42 617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274E21" w:rsidRPr="00274E21" w:rsidTr="003C5912">
        <w:trPr>
          <w:trHeight w:val="22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CNY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1 263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3 732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გერმანია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(</w:t>
            </w:r>
            <w:proofErr w:type="spellStart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>KfW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1 470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4 344 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EURIBOR+ 0.3% 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0.05%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53 533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158 201 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EURIBOR+ 0.75% 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0.56%</w:t>
            </w:r>
          </w:p>
        </w:tc>
        <w:tc>
          <w:tcPr>
            <w:tcW w:w="526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122 148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360 971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18 457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54 543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1 633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4 825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31 136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92 013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25 964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76 729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12 873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38 042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30 044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88 786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0.033%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10 926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32 289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JPY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27 369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80 881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142 627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</w:t>
            </w:r>
            <w:r w:rsidR="00C65B3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421 491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24 867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73 487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1 468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4 337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20 427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60 366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KWD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  544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1 608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8 877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26 233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  133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392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  546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1 613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5.10%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  191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566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7 772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22 968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4 586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13 553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6 891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20 365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452" w:type="pct"/>
            <w:vMerge w:val="restar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12 985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38 372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21 974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64 937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19 886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58 768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36 498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107 858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65 551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193 716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EURIBOR + 0.33%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0.37%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65 551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193 716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0.37%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3 026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8 943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EURIBOR + 1.8%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1.80%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C65B3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4 010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11 849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2.10%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274E21" w:rsidRPr="00274E21" w:rsidTr="003C5912">
        <w:trPr>
          <w:trHeight w:val="285"/>
        </w:trPr>
        <w:tc>
          <w:tcPr>
            <w:tcW w:w="1492" w:type="pct"/>
            <w:shd w:val="clear" w:color="auto" w:fill="DBE5F1" w:themeFill="accent1" w:themeFillTint="33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452" w:type="pct"/>
            <w:shd w:val="clear" w:color="auto" w:fill="DBE5F1" w:themeFill="accent1" w:themeFillTint="33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83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    500 000 </w:t>
            </w:r>
          </w:p>
        </w:tc>
        <w:tc>
          <w:tcPr>
            <w:tcW w:w="647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1 477 600 </w:t>
            </w:r>
          </w:p>
        </w:tc>
        <w:tc>
          <w:tcPr>
            <w:tcW w:w="673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7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274E21" w:rsidRPr="00274E21" w:rsidTr="003C5912">
        <w:trPr>
          <w:trHeight w:val="270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8"/>
                <w:szCs w:val="18"/>
              </w:rPr>
              <w:t>ევროობლიგაცია</w:t>
            </w:r>
            <w:proofErr w:type="spellEnd"/>
            <w:r w:rsidRPr="00274E21">
              <w:rPr>
                <w:rFonts w:ascii="Calibri" w:eastAsia="Times New Roman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500 000 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1 477 600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6.875%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0.667%</w:t>
            </w:r>
          </w:p>
        </w:tc>
      </w:tr>
      <w:tr w:rsidR="00274E21" w:rsidRPr="00274E21" w:rsidTr="003C5912">
        <w:trPr>
          <w:trHeight w:val="300"/>
        </w:trPr>
        <w:tc>
          <w:tcPr>
            <w:tcW w:w="1492" w:type="pct"/>
            <w:shd w:val="clear" w:color="auto" w:fill="DBE5F1" w:themeFill="accent1" w:themeFillTint="33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 w:rsidRPr="00274E2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4E2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452" w:type="pct"/>
            <w:shd w:val="clear" w:color="auto" w:fill="DBE5F1" w:themeFill="accent1" w:themeFillTint="33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683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          1 704 </w:t>
            </w:r>
          </w:p>
        </w:tc>
        <w:tc>
          <w:tcPr>
            <w:tcW w:w="647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        5 035 </w:t>
            </w:r>
          </w:p>
        </w:tc>
        <w:tc>
          <w:tcPr>
            <w:tcW w:w="673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Fixed </w:t>
            </w:r>
          </w:p>
        </w:tc>
        <w:tc>
          <w:tcPr>
            <w:tcW w:w="527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pct"/>
            <w:shd w:val="clear" w:color="auto" w:fill="DBE5F1" w:themeFill="accent1" w:themeFillTint="33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274E21" w:rsidRPr="00274E21" w:rsidTr="003C5912">
        <w:trPr>
          <w:trHeight w:val="195"/>
        </w:trPr>
        <w:tc>
          <w:tcPr>
            <w:tcW w:w="149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74E21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proofErr w:type="spellEnd"/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KfW</w:t>
            </w:r>
            <w:proofErr w:type="spellEnd"/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8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1 704 </w:t>
            </w:r>
          </w:p>
        </w:tc>
        <w:tc>
          <w:tcPr>
            <w:tcW w:w="64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5 035 </w:t>
            </w:r>
          </w:p>
        </w:tc>
        <w:tc>
          <w:tcPr>
            <w:tcW w:w="673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274E21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74E21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274E21" w:rsidRPr="00274E21" w:rsidTr="003C5912">
        <w:trPr>
          <w:trHeight w:val="495"/>
        </w:trPr>
        <w:tc>
          <w:tcPr>
            <w:tcW w:w="1944" w:type="pct"/>
            <w:gridSpan w:val="2"/>
            <w:shd w:val="clear" w:color="auto" w:fill="auto"/>
            <w:noWrap/>
            <w:vAlign w:val="center"/>
            <w:hideMark/>
          </w:tcPr>
          <w:p w:rsidR="00274E21" w:rsidRPr="008E21AE" w:rsidRDefault="00274E21" w:rsidP="00274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E21A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530" w:type="pct"/>
            <w:gridSpan w:val="4"/>
            <w:shd w:val="clear" w:color="auto" w:fill="auto"/>
            <w:noWrap/>
            <w:vAlign w:val="center"/>
            <w:hideMark/>
          </w:tcPr>
          <w:p w:rsidR="00274E21" w:rsidRPr="008E21AE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8E21AE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საშუალო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შეწონილი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საპროცენტო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274E21" w:rsidRPr="008E21AE" w:rsidRDefault="00274E21" w:rsidP="0027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8E21AE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2.14%</w:t>
            </w:r>
          </w:p>
        </w:tc>
      </w:tr>
    </w:tbl>
    <w:p w:rsidR="00CB5065" w:rsidRDefault="00274E21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fldChar w:fldCharType="end"/>
      </w:r>
    </w:p>
    <w:p w:rsidR="00C65B32" w:rsidRDefault="00C65B32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C65B32" w:rsidRDefault="00C65B32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797BDC" w:rsidRDefault="00B830F8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E160B">
        <w:rPr>
          <w:rFonts w:ascii="Sylfaen" w:hAnsi="Sylfaen" w:cs="Sylfaen"/>
          <w:szCs w:val="21"/>
          <w:shd w:val="clear" w:color="auto" w:fill="FFFFFF"/>
          <w:lang w:val="ka-GE"/>
        </w:rPr>
        <w:t>საანგარიშო პერიოდში მიიმართა</w:t>
      </w:r>
      <w:r w:rsidRPr="00C2136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00938">
        <w:rPr>
          <w:rFonts w:ascii="Sylfaen" w:hAnsi="Sylfaen" w:cs="Sylfaen"/>
          <w:szCs w:val="21"/>
          <w:shd w:val="clear" w:color="auto" w:fill="FFFFFF"/>
          <w:lang w:val="ka-GE"/>
        </w:rPr>
        <w:t>908 848.7</w:t>
      </w:r>
      <w:r w:rsidR="009F177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C2136E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300938">
        <w:rPr>
          <w:rFonts w:ascii="Sylfaen" w:hAnsi="Sylfaen" w:cs="Sylfaen"/>
          <w:szCs w:val="21"/>
          <w:shd w:val="clear" w:color="auto" w:fill="FFFFFF"/>
          <w:lang w:val="ka-GE"/>
        </w:rPr>
        <w:t>690 298.8</w:t>
      </w:r>
      <w:r w:rsidR="009F177E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00938">
        <w:rPr>
          <w:rFonts w:ascii="Sylfaen" w:hAnsi="Sylfaen" w:cs="Sylfaen"/>
          <w:szCs w:val="21"/>
          <w:shd w:val="clear" w:color="auto" w:fill="FFFFFF"/>
          <w:lang w:val="ka-GE"/>
        </w:rPr>
        <w:t>218 549.8</w:t>
      </w:r>
      <w:r w:rsidR="009F177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C65B32" w:rsidRDefault="00C65B32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C65B32" w:rsidRDefault="00C65B32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C65B32" w:rsidRDefault="00C65B32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4816BC" w:rsidRDefault="00FE7942" w:rsidP="00FB01F8">
      <w:pPr>
        <w:jc w:val="center"/>
        <w:rPr>
          <w:rFonts w:ascii="Sylfaen" w:hAnsi="Sylfaen"/>
          <w:b/>
          <w:lang w:val="ka-GE"/>
        </w:rPr>
      </w:pP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საგარეო ვალდებულებების მომსახურება და დაფარვა</w:t>
      </w:r>
      <w:r w:rsidR="00FB01F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504D30">
        <w:rPr>
          <w:rFonts w:ascii="Sylfaen" w:hAnsi="Sylfaen"/>
          <w:b/>
          <w:lang w:val="ka-GE"/>
        </w:rPr>
        <w:t>201</w:t>
      </w:r>
      <w:r w:rsidR="00784855">
        <w:rPr>
          <w:rFonts w:ascii="Sylfaen" w:hAnsi="Sylfaen"/>
          <w:b/>
          <w:lang w:val="ka-GE"/>
        </w:rPr>
        <w:t>9</w:t>
      </w:r>
      <w:r w:rsidR="000F5720" w:rsidRPr="00504D30">
        <w:rPr>
          <w:rFonts w:ascii="Sylfaen" w:hAnsi="Sylfaen"/>
          <w:b/>
          <w:lang w:val="ka-GE"/>
        </w:rPr>
        <w:t xml:space="preserve"> წლის </w:t>
      </w:r>
      <w:r w:rsidR="0047209C">
        <w:rPr>
          <w:rFonts w:ascii="Sylfaen" w:hAnsi="Sylfaen"/>
          <w:b/>
          <w:lang w:val="ka-GE"/>
        </w:rPr>
        <w:t>30</w:t>
      </w:r>
      <w:r w:rsidR="000F5720" w:rsidRPr="00504D30">
        <w:rPr>
          <w:rFonts w:ascii="Sylfaen" w:hAnsi="Sylfaen"/>
          <w:b/>
          <w:lang w:val="ka-GE"/>
        </w:rPr>
        <w:t xml:space="preserve"> </w:t>
      </w:r>
      <w:r w:rsidR="00300938">
        <w:rPr>
          <w:rFonts w:ascii="Sylfaen" w:hAnsi="Sylfaen"/>
          <w:b/>
          <w:lang w:val="ka-GE"/>
        </w:rPr>
        <w:t>სექტემბრის</w:t>
      </w:r>
      <w:r w:rsidR="00FD691A">
        <w:rPr>
          <w:rFonts w:ascii="Sylfaen" w:hAnsi="Sylfaen"/>
          <w:b/>
          <w:lang w:val="ka-GE"/>
        </w:rPr>
        <w:t xml:space="preserve"> მდგომარეობით</w:t>
      </w:r>
    </w:p>
    <w:p w:rsidR="00B34FAA" w:rsidRDefault="00B62FE2" w:rsidP="000C416D">
      <w:pPr>
        <w:tabs>
          <w:tab w:val="left" w:pos="0"/>
          <w:tab w:val="left" w:pos="9356"/>
        </w:tabs>
        <w:spacing w:after="0" w:line="240" w:lineRule="auto"/>
        <w:ind w:right="852" w:firstLine="720"/>
        <w:jc w:val="right"/>
        <w:rPr>
          <w:rFonts w:ascii="Sylfaen" w:hAnsi="Sylfaen"/>
          <w:i/>
          <w:noProof/>
          <w:color w:val="000000"/>
          <w:sz w:val="16"/>
          <w:szCs w:val="18"/>
          <w:lang w:val="ka-GE"/>
        </w:rPr>
      </w:pPr>
      <w:r>
        <w:rPr>
          <w:rFonts w:ascii="Sylfaen" w:hAnsi="Sylfaen"/>
          <w:i/>
          <w:noProof/>
          <w:color w:val="000000"/>
          <w:sz w:val="16"/>
          <w:szCs w:val="18"/>
        </w:rPr>
        <w:t xml:space="preserve">     </w:t>
      </w:r>
      <w:r w:rsidR="00FB01F8" w:rsidRPr="000C416D">
        <w:rPr>
          <w:rFonts w:ascii="Sylfaen" w:hAnsi="Sylfaen"/>
          <w:i/>
          <w:noProof/>
          <w:color w:val="000000"/>
          <w:sz w:val="16"/>
          <w:szCs w:val="18"/>
          <w:lang w:val="ka-GE"/>
        </w:rPr>
        <w:t>ათასი ლარი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3"/>
        <w:gridCol w:w="2387"/>
        <w:gridCol w:w="2387"/>
        <w:gridCol w:w="2387"/>
      </w:tblGrid>
      <w:tr w:rsidR="00300938" w:rsidRPr="008E21AE" w:rsidTr="008E21AE">
        <w:trPr>
          <w:trHeight w:val="345"/>
        </w:trPr>
        <w:tc>
          <w:tcPr>
            <w:tcW w:w="1439" w:type="pct"/>
            <w:noWrap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/>
                <w:b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/>
                <w:bCs/>
                <w:noProof/>
                <w:color w:val="000000"/>
                <w:sz w:val="16"/>
                <w:szCs w:val="18"/>
              </w:rPr>
              <w:t>კრედიტორები</w:t>
            </w:r>
          </w:p>
        </w:tc>
        <w:tc>
          <w:tcPr>
            <w:tcW w:w="1187" w:type="pct"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Sylfaen" w:hAnsi="Sylfaen"/>
                <w:b/>
                <w:b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/>
                <w:bCs/>
                <w:noProof/>
                <w:color w:val="000000"/>
                <w:sz w:val="16"/>
                <w:szCs w:val="18"/>
              </w:rPr>
              <w:t>ვალების დაფარვა</w:t>
            </w:r>
          </w:p>
        </w:tc>
        <w:tc>
          <w:tcPr>
            <w:tcW w:w="1187" w:type="pct"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Sylfaen" w:hAnsi="Sylfaen"/>
                <w:b/>
                <w:b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/>
                <w:bCs/>
                <w:noProof/>
                <w:color w:val="000000"/>
                <w:sz w:val="16"/>
                <w:szCs w:val="18"/>
              </w:rPr>
              <w:t>პროცენტი</w:t>
            </w:r>
          </w:p>
        </w:tc>
        <w:tc>
          <w:tcPr>
            <w:tcW w:w="1187" w:type="pct"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/>
              <w:rPr>
                <w:rFonts w:ascii="Sylfaen" w:hAnsi="Sylfaen"/>
                <w:b/>
                <w:b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/>
                <w:bCs/>
                <w:noProof/>
                <w:color w:val="000000"/>
                <w:sz w:val="16"/>
                <w:szCs w:val="18"/>
                <w:lang w:val="ka-GE"/>
              </w:rPr>
              <w:t xml:space="preserve">                  </w:t>
            </w:r>
            <w:r w:rsidRPr="008E21AE">
              <w:rPr>
                <w:rFonts w:ascii="Sylfaen" w:hAnsi="Sylfaen"/>
                <w:b/>
                <w:bCs/>
                <w:noProof/>
                <w:color w:val="000000"/>
                <w:sz w:val="16"/>
                <w:szCs w:val="18"/>
              </w:rPr>
              <w:t>სულ 2019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ავსტრია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806.7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315.4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122.0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კუვეიტი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862.2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785.8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648.0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იაპონია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7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321.1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181.4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10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502.6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გერმანია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34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556.0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270.4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45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826.3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აშშ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242.0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328.5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570.5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სომხეთი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037.5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601.2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638.7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აზერბაიჯანი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639.7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590.4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230.1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ირანი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045.7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443.2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488.9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ყაზახეთი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8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841.2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182.6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14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023.8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ნიდერლანდები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318.5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64.0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382.4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რუსეთი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272.0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899.8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27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171.8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თურქეთი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056.8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246.3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6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303.1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უკრაინა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52.1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5.3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57.4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უზბეკეთი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57.0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5.8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62.9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საფრანგეთი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120.5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893.2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45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013.7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ჩინეთი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006.7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0.0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006.7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IDA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215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794.9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24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755.1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240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550.0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IBRD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36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053.7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59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366.9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95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420.6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IFAD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821.2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954.5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775.7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EBRD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28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069.9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947.1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017.0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EIB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141.4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5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083.1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17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224.4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ADB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143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071.7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42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279.7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185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351.5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IMF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117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110.5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828.6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118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939.1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EU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0.0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239.9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1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239.9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NEFCO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0.0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42.1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42.1</w:t>
            </w:r>
          </w:p>
        </w:tc>
      </w:tr>
      <w:tr w:rsidR="00300938" w:rsidRPr="008E21AE" w:rsidTr="008E21AE">
        <w:trPr>
          <w:trHeight w:val="300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Cs/>
                <w:iCs/>
                <w:noProof/>
                <w:color w:val="000000"/>
                <w:sz w:val="16"/>
                <w:szCs w:val="18"/>
              </w:rPr>
              <w:t>ევრობონდები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E97721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0.0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46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239.5</w:t>
            </w:r>
          </w:p>
        </w:tc>
        <w:tc>
          <w:tcPr>
            <w:tcW w:w="1187" w:type="pct"/>
            <w:noWrap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9356"/>
              </w:tabs>
              <w:ind w:right="277" w:firstLine="720"/>
              <w:jc w:val="right"/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46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  <w:lang w:val="ka-GE"/>
              </w:rPr>
              <w:t xml:space="preserve"> </w:t>
            </w:r>
            <w:r w:rsidRPr="008E21AE">
              <w:rPr>
                <w:rFonts w:ascii="Arial" w:hAnsi="Arial" w:cs="Arial"/>
                <w:bCs/>
                <w:iCs/>
                <w:noProof/>
                <w:color w:val="000000"/>
                <w:sz w:val="16"/>
                <w:szCs w:val="18"/>
              </w:rPr>
              <w:t>239.5</w:t>
            </w:r>
          </w:p>
        </w:tc>
      </w:tr>
      <w:tr w:rsidR="00300938" w:rsidRPr="008E21AE" w:rsidTr="008E21AE">
        <w:trPr>
          <w:trHeight w:val="294"/>
        </w:trPr>
        <w:tc>
          <w:tcPr>
            <w:tcW w:w="1439" w:type="pct"/>
            <w:hideMark/>
          </w:tcPr>
          <w:p w:rsidR="00300938" w:rsidRPr="008E21AE" w:rsidRDefault="00300938" w:rsidP="008E21AE">
            <w:pPr>
              <w:tabs>
                <w:tab w:val="left" w:pos="0"/>
                <w:tab w:val="left" w:pos="9356"/>
              </w:tabs>
              <w:ind w:right="319" w:firstLine="169"/>
              <w:jc w:val="center"/>
              <w:rPr>
                <w:rFonts w:ascii="Sylfaen" w:hAnsi="Sylfaen"/>
                <w:b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Sylfaen" w:hAnsi="Sylfaen"/>
                <w:b/>
                <w:bCs/>
                <w:iCs/>
                <w:noProof/>
                <w:color w:val="000000"/>
                <w:sz w:val="16"/>
                <w:szCs w:val="18"/>
              </w:rPr>
              <w:t>სულ</w:t>
            </w:r>
          </w:p>
        </w:tc>
        <w:tc>
          <w:tcPr>
            <w:tcW w:w="1187" w:type="pct"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358" w:firstLine="35"/>
              <w:jc w:val="right"/>
              <w:rPr>
                <w:rFonts w:ascii="Arial" w:hAnsi="Arial" w:cs="Arial"/>
                <w:b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/>
                <w:bCs/>
                <w:iCs/>
                <w:noProof/>
                <w:color w:val="000000"/>
                <w:sz w:val="16"/>
                <w:szCs w:val="18"/>
              </w:rPr>
              <w:t>690 298.8</w:t>
            </w:r>
          </w:p>
        </w:tc>
        <w:tc>
          <w:tcPr>
            <w:tcW w:w="1187" w:type="pct"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9356"/>
              </w:tabs>
              <w:ind w:right="175" w:firstLine="31"/>
              <w:jc w:val="right"/>
              <w:rPr>
                <w:rFonts w:ascii="Arial" w:hAnsi="Arial" w:cs="Arial"/>
                <w:b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/>
                <w:bCs/>
                <w:iCs/>
                <w:noProof/>
                <w:color w:val="000000"/>
                <w:sz w:val="16"/>
                <w:szCs w:val="18"/>
              </w:rPr>
              <w:t>218 549.8</w:t>
            </w:r>
          </w:p>
        </w:tc>
        <w:tc>
          <w:tcPr>
            <w:tcW w:w="1187" w:type="pct"/>
            <w:hideMark/>
          </w:tcPr>
          <w:p w:rsidR="00300938" w:rsidRPr="008E21AE" w:rsidRDefault="00300938" w:rsidP="00B62FE2">
            <w:pPr>
              <w:tabs>
                <w:tab w:val="left" w:pos="0"/>
                <w:tab w:val="left" w:pos="746"/>
                <w:tab w:val="left" w:pos="887"/>
                <w:tab w:val="left" w:pos="1032"/>
                <w:tab w:val="left" w:pos="9356"/>
              </w:tabs>
              <w:ind w:right="312"/>
              <w:jc w:val="right"/>
              <w:rPr>
                <w:rFonts w:ascii="Arial" w:hAnsi="Arial" w:cs="Arial"/>
                <w:b/>
                <w:bCs/>
                <w:iCs/>
                <w:noProof/>
                <w:color w:val="000000"/>
                <w:sz w:val="16"/>
                <w:szCs w:val="18"/>
              </w:rPr>
            </w:pPr>
            <w:r w:rsidRPr="008E21AE">
              <w:rPr>
                <w:rFonts w:ascii="Arial" w:hAnsi="Arial" w:cs="Arial"/>
                <w:b/>
                <w:bCs/>
                <w:iCs/>
                <w:noProof/>
                <w:color w:val="000000"/>
                <w:sz w:val="16"/>
                <w:szCs w:val="18"/>
              </w:rPr>
              <w:t>908 848.7</w:t>
            </w:r>
          </w:p>
        </w:tc>
      </w:tr>
    </w:tbl>
    <w:p w:rsidR="00B34FAA" w:rsidRDefault="00B34FAA" w:rsidP="000C416D">
      <w:pPr>
        <w:tabs>
          <w:tab w:val="left" w:pos="0"/>
          <w:tab w:val="left" w:pos="9356"/>
        </w:tabs>
        <w:spacing w:after="0" w:line="240" w:lineRule="auto"/>
        <w:ind w:right="852" w:firstLine="720"/>
        <w:jc w:val="right"/>
        <w:rPr>
          <w:rFonts w:ascii="Sylfaen" w:hAnsi="Sylfaen"/>
          <w:i/>
          <w:noProof/>
          <w:color w:val="000000"/>
          <w:sz w:val="16"/>
          <w:szCs w:val="18"/>
          <w:lang w:val="ka-GE"/>
        </w:rPr>
      </w:pPr>
    </w:p>
    <w:p w:rsidR="00C65B32" w:rsidRDefault="00C65B32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9E33C4" w:rsidRPr="00B57E9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F4EC7" w:rsidRDefault="0096735A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015303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თვიანი სახაზინო ვალდებულებების და 2, 5 და 10 წლიანი სახაზინო ობლიგაციების ემისია. 201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02796C" w:rsidRPr="00164B20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00938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6 თვიანზე </w:t>
      </w:r>
      <w:r w:rsidR="00CA322C">
        <w:rPr>
          <w:rFonts w:ascii="Sylfaen" w:hAnsi="Sylfaen" w:cs="Sylfaen"/>
          <w:szCs w:val="21"/>
          <w:shd w:val="clear" w:color="auto" w:fill="FFFFFF"/>
        </w:rPr>
        <w:t>7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A322C">
        <w:rPr>
          <w:rFonts w:ascii="Sylfaen" w:hAnsi="Sylfaen" w:cs="Sylfaen"/>
          <w:szCs w:val="21"/>
          <w:shd w:val="clear" w:color="auto" w:fill="FFFFFF"/>
        </w:rPr>
        <w:t>0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თვიანზე </w:t>
      </w:r>
      <w:r w:rsidR="00CA322C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A322C">
        <w:rPr>
          <w:rFonts w:ascii="Sylfaen" w:hAnsi="Sylfaen" w:cs="Sylfaen"/>
          <w:szCs w:val="21"/>
          <w:shd w:val="clear" w:color="auto" w:fill="FFFFFF"/>
        </w:rPr>
        <w:t>1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863DFC">
        <w:rPr>
          <w:rFonts w:ascii="Sylfaen" w:hAnsi="Sylfaen" w:cs="Sylfaen"/>
          <w:szCs w:val="21"/>
          <w:shd w:val="clear" w:color="auto" w:fill="FFFFFF"/>
        </w:rPr>
        <w:t>7</w:t>
      </w:r>
      <w:r w:rsidR="00CA322C">
        <w:rPr>
          <w:rFonts w:ascii="Sylfaen" w:hAnsi="Sylfaen" w:cs="Sylfaen"/>
          <w:szCs w:val="21"/>
          <w:shd w:val="clear" w:color="auto" w:fill="FFFFFF"/>
        </w:rPr>
        <w:t>.4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CA322C">
        <w:rPr>
          <w:rFonts w:ascii="Sylfaen" w:hAnsi="Sylfaen" w:cs="Sylfaen"/>
          <w:szCs w:val="21"/>
          <w:shd w:val="clear" w:color="auto" w:fill="FFFFFF"/>
        </w:rPr>
        <w:t>8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A322C">
        <w:rPr>
          <w:rFonts w:ascii="Sylfaen" w:hAnsi="Sylfaen" w:cs="Sylfaen"/>
          <w:szCs w:val="21"/>
          <w:shd w:val="clear" w:color="auto" w:fill="FFFFFF"/>
        </w:rPr>
        <w:t>2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</w:rPr>
        <w:t>4</w:t>
      </w:r>
      <w:r w:rsidR="00567ACE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67ACE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863DFC" w:rsidRDefault="00567ACE" w:rsidP="00863DFC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201</w:t>
      </w:r>
      <w:r w:rsidR="00050EF1">
        <w:rPr>
          <w:rFonts w:ascii="Sylfaen" w:hAnsi="Sylfaen" w:cs="Sylfaen"/>
          <w:shd w:val="clear" w:color="auto" w:fill="FFFFFF"/>
          <w:lang w:val="ka-GE"/>
        </w:rPr>
        <w:t>9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863DFC">
        <w:rPr>
          <w:rFonts w:ascii="Sylfaen" w:hAnsi="Sylfaen" w:cs="Sylfaen"/>
          <w:szCs w:val="21"/>
          <w:shd w:val="clear" w:color="auto" w:fill="FFFFFF"/>
        </w:rPr>
        <w:t>30</w:t>
      </w:r>
      <w:r w:rsidR="0002796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A322C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44178B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 w:rsidR="00CA322C"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CA322C">
        <w:rPr>
          <w:rFonts w:ascii="Sylfaen" w:hAnsi="Sylfaen" w:cs="Sylfaen"/>
          <w:shd w:val="clear" w:color="auto" w:fill="FFFFFF"/>
          <w:lang w:val="ka-GE"/>
        </w:rPr>
        <w:t>650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CA322C">
        <w:rPr>
          <w:rFonts w:ascii="Sylfaen" w:hAnsi="Sylfaen" w:cs="Sylfaen"/>
          <w:shd w:val="clear" w:color="auto" w:fill="FFFFFF"/>
          <w:lang w:val="ka-GE"/>
        </w:rPr>
        <w:t>8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 w:rsidR="00994CC0"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-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CA322C">
        <w:rPr>
          <w:rFonts w:ascii="Sylfaen" w:hAnsi="Sylfaen" w:cs="Sylfaen"/>
          <w:shd w:val="clear" w:color="auto" w:fill="FFFFFF"/>
          <w:lang w:val="ka-GE"/>
        </w:rPr>
        <w:t>655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CA322C">
        <w:rPr>
          <w:rFonts w:ascii="Sylfaen" w:hAnsi="Sylfaen" w:cs="Sylfaen"/>
          <w:shd w:val="clear" w:color="auto" w:fill="FFFFFF"/>
          <w:lang w:val="ka-GE"/>
        </w:rPr>
        <w:t>9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მლნ ლარი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CA322C">
        <w:rPr>
          <w:rFonts w:ascii="Sylfaen" w:hAnsi="Sylfaen"/>
          <w:szCs w:val="21"/>
          <w:shd w:val="clear" w:color="auto" w:fill="FFFFFF"/>
          <w:lang w:val="ka-GE"/>
        </w:rPr>
        <w:t>6.3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863DFC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E51277">
        <w:rPr>
          <w:rFonts w:ascii="Sylfaen" w:hAnsi="Sylfaen" w:cs="Sylfaen"/>
          <w:shd w:val="clear" w:color="auto" w:fill="FFFFFF"/>
          <w:lang w:val="ka-GE"/>
        </w:rPr>
        <w:t>243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E51277">
        <w:rPr>
          <w:rFonts w:ascii="Sylfaen" w:hAnsi="Sylfaen" w:cs="Sylfaen"/>
          <w:shd w:val="clear" w:color="auto" w:fill="FFFFFF"/>
          <w:lang w:val="ka-GE"/>
        </w:rPr>
        <w:t>6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863DFC">
        <w:rPr>
          <w:rFonts w:ascii="Sylfaen" w:hAnsi="Sylfaen" w:cs="Sylfaen"/>
          <w:shd w:val="clear" w:color="auto" w:fill="FFFFFF"/>
          <w:lang w:val="ka-GE"/>
        </w:rPr>
        <w:t>4</w:t>
      </w:r>
      <w:r w:rsidR="00E51277">
        <w:rPr>
          <w:rFonts w:ascii="Sylfaen" w:hAnsi="Sylfaen" w:cs="Sylfaen"/>
          <w:shd w:val="clear" w:color="auto" w:fill="FFFFFF"/>
          <w:lang w:val="ka-GE"/>
        </w:rPr>
        <w:t>0</w:t>
      </w:r>
      <w:r w:rsidR="00863DFC">
        <w:rPr>
          <w:rFonts w:ascii="Sylfaen" w:hAnsi="Sylfaen" w:cs="Sylfaen"/>
          <w:shd w:val="clear" w:color="auto" w:fill="FFFFFF"/>
          <w:lang w:val="ka-GE"/>
        </w:rPr>
        <w:t>0</w:t>
      </w:r>
      <w:r w:rsidR="00576720">
        <w:rPr>
          <w:rFonts w:ascii="Sylfaen" w:hAnsi="Sylfaen" w:cs="Sylfaen"/>
          <w:shd w:val="clear" w:color="auto" w:fill="FFFFFF"/>
          <w:lang w:val="ka-GE"/>
        </w:rPr>
        <w:t>.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8</w:t>
      </w:r>
      <w:r w:rsidR="0057672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 w:rsidR="00994CC0"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 w:rsidR="00E51277"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="00E51277"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 w:rsidR="00E51277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E51277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E51277">
        <w:rPr>
          <w:rFonts w:ascii="Sylfaen" w:hAnsi="Sylfaen"/>
          <w:szCs w:val="21"/>
          <w:shd w:val="clear" w:color="auto" w:fill="FFFFFF"/>
          <w:lang w:val="ka-GE"/>
        </w:rPr>
        <w:t>6.3</w:t>
      </w:r>
      <w:r w:rsidR="00E51277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 w:rsidR="00E51277"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:rsidR="00863DFC" w:rsidRDefault="00863DFC" w:rsidP="00863DFC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C65B32" w:rsidRDefault="00C65B32" w:rsidP="00863DFC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C65B32" w:rsidRDefault="00C65B32" w:rsidP="00863DFC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C65B32" w:rsidRDefault="00C65B32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C65B32" w:rsidRDefault="00C65B32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B2672E" w:rsidRDefault="00F26066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 xml:space="preserve">ფასიანი ქაღალდების დაუფარავი მოცულობა ნომინალებში ვადის და ტიპის მიხედვით 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F26066" w:rsidRDefault="0044178B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201</w:t>
      </w:r>
      <w:r w:rsidR="001E6B6E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9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F26066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წლის </w:t>
      </w:r>
      <w:r w:rsidR="00B2672E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</w:t>
      </w:r>
      <w:r w:rsidR="00164B20" w:rsidRPr="00B2672E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E5127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სექტემბრის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F26066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C65B32" w:rsidRPr="00B2672E" w:rsidRDefault="00C65B32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F26066" w:rsidRPr="004150CD" w:rsidRDefault="00F26066" w:rsidP="004150CD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Pr="004150CD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50"/>
        <w:gridCol w:w="2993"/>
      </w:tblGrid>
      <w:tr w:rsidR="0044178B" w:rsidRPr="00B34FAA" w:rsidTr="008E21AE">
        <w:trPr>
          <w:trHeight w:val="428"/>
          <w:tblHeader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D62E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vAlign w:val="center"/>
            <w:hideMark/>
          </w:tcPr>
          <w:p w:rsidR="0044178B" w:rsidRPr="00E51277" w:rsidRDefault="001E6B6E" w:rsidP="00E51277">
            <w:pPr>
              <w:jc w:val="center"/>
              <w:rPr>
                <w:rFonts w:ascii="Sylfaen" w:hAnsi="Sylfaen" w:cs="Arial"/>
                <w:b/>
                <w:sz w:val="18"/>
                <w:szCs w:val="18"/>
                <w:lang w:val="ka-GE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3,</w:t>
            </w:r>
            <w:r w:rsidR="00E51277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662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 w:rsidR="00E51277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198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.</w:t>
            </w:r>
            <w:r w:rsidR="00E51277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6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D62E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E51277">
            <w:pPr>
              <w:tabs>
                <w:tab w:val="left" w:pos="910"/>
                <w:tab w:val="center" w:pos="1431"/>
              </w:tabs>
              <w:rPr>
                <w:rFonts w:ascii="Sylfaen" w:hAnsi="Sylfaen" w:cs="Arial"/>
                <w:b/>
                <w:sz w:val="18"/>
                <w:szCs w:val="18"/>
                <w:lang w:val="ka-GE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ab/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ab/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3</w:t>
            </w:r>
            <w:r w:rsidR="001E6B6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 w:rsidR="00E51277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255</w:t>
            </w:r>
            <w:r w:rsidR="001E6B6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 w:rsidR="00E51277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018</w:t>
            </w:r>
            <w:r w:rsidR="001E6B6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461" w:type="pct"/>
            <w:vAlign w:val="center"/>
          </w:tcPr>
          <w:p w:rsidR="0044178B" w:rsidRPr="00B34FAA" w:rsidRDefault="0039166F" w:rsidP="00D62E8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DD66EB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39166F" w:rsidP="00B57E95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</w:t>
            </w:r>
            <w:r w:rsidR="00B57E95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E5127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9</w:t>
            </w:r>
            <w:r w:rsidR="00E51277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6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0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57E95" w:rsidP="00E5127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</w:t>
            </w:r>
            <w:r w:rsidR="00E51277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262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</w:t>
            </w:r>
            <w:r w:rsidR="00E51277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498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E51277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4</w:t>
            </w:r>
            <w:r w:rsidR="00E51277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3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2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,520.0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994C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  <w:vAlign w:val="center"/>
          </w:tcPr>
          <w:p w:rsidR="0044178B" w:rsidRPr="00B34FAA" w:rsidRDefault="00E51277" w:rsidP="00D62E87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40</w:t>
            </w:r>
            <w:r w:rsidR="00B2672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0</w:t>
            </w:r>
            <w:r w:rsidR="00E513A2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,846.0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44178B" w:rsidP="001E6B6E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</w:t>
            </w:r>
            <w:r w:rsidR="001E6B6E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0,846.0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E5127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1</w:t>
            </w:r>
            <w:r w:rsidR="00E51277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6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0</w:t>
            </w:r>
            <w:r w:rsidR="00E513A2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,000.0</w:t>
            </w:r>
          </w:p>
        </w:tc>
      </w:tr>
      <w:tr w:rsidR="00B2672E" w:rsidRPr="00B34FAA" w:rsidTr="00B34FAA">
        <w:trPr>
          <w:trHeight w:val="288"/>
          <w:jc w:val="center"/>
        </w:trPr>
        <w:tc>
          <w:tcPr>
            <w:tcW w:w="3539" w:type="pct"/>
            <w:vAlign w:val="center"/>
          </w:tcPr>
          <w:p w:rsidR="00B2672E" w:rsidRPr="00B34FAA" w:rsidRDefault="00B2672E" w:rsidP="00B2672E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ნაშ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  <w:vAlign w:val="center"/>
          </w:tcPr>
          <w:p w:rsidR="00B2672E" w:rsidRPr="00E51277" w:rsidRDefault="00E51277" w:rsidP="00E51277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6</w:t>
            </w:r>
            <w:r w:rsidR="00B2672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334</w:t>
            </w:r>
            <w:r w:rsidR="00B2672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6</w:t>
            </w:r>
          </w:p>
        </w:tc>
      </w:tr>
    </w:tbl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D57A95" w:rsidRDefault="00D57A95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E0A52" w:rsidRPr="004464CC" w:rsidRDefault="00F26066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201</w:t>
      </w:r>
      <w:r w:rsidR="001E6B6E">
        <w:rPr>
          <w:rFonts w:ascii="Sylfaen" w:hAnsi="Sylfaen" w:cs="Sylfaen"/>
          <w:lang w:val="ka-GE"/>
        </w:rPr>
        <w:t>9</w:t>
      </w:r>
      <w:r w:rsidRPr="004464CC">
        <w:rPr>
          <w:rFonts w:ascii="Sylfaen" w:hAnsi="Sylfaen" w:cs="Sylfaen"/>
          <w:lang w:val="ka-GE"/>
        </w:rPr>
        <w:t xml:space="preserve"> წლის </w:t>
      </w:r>
      <w:r w:rsidR="00B2672E">
        <w:rPr>
          <w:rFonts w:ascii="Sylfaen" w:hAnsi="Sylfaen" w:cs="Sylfaen"/>
          <w:szCs w:val="18"/>
          <w:shd w:val="clear" w:color="auto" w:fill="FFFFFF"/>
          <w:lang w:val="ka-GE"/>
        </w:rPr>
        <w:t>30</w:t>
      </w:r>
      <w:r w:rsidR="00581B0F" w:rsidRPr="00581B0F">
        <w:rPr>
          <w:rFonts w:ascii="Sylfaen" w:hAnsi="Sylfaen" w:cs="Sylfaen"/>
          <w:szCs w:val="18"/>
          <w:shd w:val="clear" w:color="auto" w:fill="FFFFFF"/>
        </w:rPr>
        <w:t xml:space="preserve"> </w:t>
      </w:r>
      <w:r w:rsidR="00E51277">
        <w:rPr>
          <w:rFonts w:ascii="Sylfaen" w:hAnsi="Sylfaen" w:cs="Sylfaen"/>
          <w:szCs w:val="18"/>
          <w:shd w:val="clear" w:color="auto" w:fill="FFFFFF"/>
          <w:lang w:val="ka-GE"/>
        </w:rPr>
        <w:t>სექტემბრის</w:t>
      </w:r>
      <w:r w:rsidR="00581B0F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 xml:space="preserve">მდგომარეობით, </w:t>
      </w:r>
      <w:r w:rsidR="005E0A52" w:rsidRPr="004464CC">
        <w:rPr>
          <w:rFonts w:ascii="Sylfaen" w:hAnsi="Sylfaen" w:cs="Sylfaen"/>
          <w:lang w:val="ka-GE"/>
        </w:rPr>
        <w:t xml:space="preserve">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E51277" w:rsidRPr="00E51277">
        <w:rPr>
          <w:rFonts w:ascii="Sylfaen" w:hAnsi="Sylfaen" w:cs="Sylfaen"/>
          <w:lang w:val="ka-GE"/>
        </w:rPr>
        <w:t>1</w:t>
      </w:r>
      <w:r w:rsidR="00E51277">
        <w:rPr>
          <w:rFonts w:ascii="Sylfaen" w:hAnsi="Sylfaen" w:cs="Sylfaen"/>
          <w:lang w:val="ka-GE"/>
        </w:rPr>
        <w:t> </w:t>
      </w:r>
      <w:r w:rsidR="00E51277" w:rsidRPr="00E51277">
        <w:rPr>
          <w:rFonts w:ascii="Sylfaen" w:hAnsi="Sylfaen" w:cs="Sylfaen"/>
          <w:lang w:val="ka-GE"/>
        </w:rPr>
        <w:t>455</w:t>
      </w:r>
      <w:r w:rsidR="00E51277">
        <w:rPr>
          <w:rFonts w:ascii="Sylfaen" w:hAnsi="Sylfaen" w:cs="Sylfaen"/>
          <w:lang w:val="ka-GE"/>
        </w:rPr>
        <w:t xml:space="preserve"> </w:t>
      </w:r>
      <w:r w:rsidR="00E51277" w:rsidRPr="00E51277">
        <w:rPr>
          <w:rFonts w:ascii="Sylfaen" w:hAnsi="Sylfaen" w:cs="Sylfaen"/>
          <w:lang w:val="ka-GE"/>
        </w:rPr>
        <w:t>631</w:t>
      </w:r>
      <w:r w:rsidR="00E51277">
        <w:rPr>
          <w:rFonts w:ascii="Sylfaen" w:hAnsi="Sylfaen" w:cs="Sylfaen"/>
          <w:lang w:val="ka-GE"/>
        </w:rPr>
        <w:t>.</w:t>
      </w:r>
      <w:r w:rsidR="00E51277" w:rsidRPr="00E51277">
        <w:rPr>
          <w:rFonts w:ascii="Sylfaen" w:hAnsi="Sylfaen" w:cs="Sylfaen"/>
          <w:lang w:val="ka-GE"/>
        </w:rPr>
        <w:t>4</w:t>
      </w:r>
      <w:r w:rsidR="00B2672E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ათასი ლარი,</w:t>
      </w:r>
      <w:r w:rsidR="00746294" w:rsidRPr="004464CC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>ძირითადი თანხის დაფარვა</w:t>
      </w:r>
      <w:r w:rsidR="005E0A52" w:rsidRPr="004464CC">
        <w:rPr>
          <w:rFonts w:ascii="Sylfaen" w:hAnsi="Sylfaen" w:cs="Sylfaen"/>
          <w:lang w:val="ka-GE"/>
        </w:rPr>
        <w:t>მ</w:t>
      </w:r>
      <w:r w:rsidRPr="004464CC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კი</w:t>
      </w:r>
      <w:r w:rsidR="001F3BCB" w:rsidRPr="004464CC">
        <w:rPr>
          <w:rFonts w:ascii="Sylfaen" w:hAnsi="Sylfaen" w:cs="Sylfaen"/>
        </w:rPr>
        <w:t xml:space="preserve"> </w:t>
      </w:r>
      <w:r w:rsidR="00E51277" w:rsidRPr="00E51277">
        <w:rPr>
          <w:rFonts w:ascii="Sylfaen" w:hAnsi="Sylfaen" w:cs="Sylfaen"/>
          <w:lang w:val="ka-GE"/>
        </w:rPr>
        <w:t>1</w:t>
      </w:r>
      <w:r w:rsidR="00E51277">
        <w:rPr>
          <w:rFonts w:ascii="Sylfaen" w:hAnsi="Sylfaen" w:cs="Sylfaen"/>
          <w:lang w:val="ka-GE"/>
        </w:rPr>
        <w:t> </w:t>
      </w:r>
      <w:r w:rsidR="00E51277" w:rsidRPr="00E51277">
        <w:rPr>
          <w:rFonts w:ascii="Sylfaen" w:hAnsi="Sylfaen" w:cs="Sylfaen"/>
          <w:lang w:val="ka-GE"/>
        </w:rPr>
        <w:t>029</w:t>
      </w:r>
      <w:r w:rsidR="00E51277">
        <w:rPr>
          <w:rFonts w:ascii="Sylfaen" w:hAnsi="Sylfaen" w:cs="Sylfaen"/>
          <w:lang w:val="ka-GE"/>
        </w:rPr>
        <w:t xml:space="preserve"> </w:t>
      </w:r>
      <w:r w:rsidR="00E51277" w:rsidRPr="00E51277">
        <w:rPr>
          <w:rFonts w:ascii="Sylfaen" w:hAnsi="Sylfaen" w:cs="Sylfaen"/>
          <w:lang w:val="ka-GE"/>
        </w:rPr>
        <w:t>636</w:t>
      </w:r>
      <w:r w:rsidR="00E51277">
        <w:rPr>
          <w:rFonts w:ascii="Sylfaen" w:hAnsi="Sylfaen" w:cs="Sylfaen"/>
          <w:lang w:val="ka-GE"/>
        </w:rPr>
        <w:t xml:space="preserve">.9 </w:t>
      </w:r>
      <w:r w:rsidRPr="004464CC">
        <w:rPr>
          <w:rFonts w:ascii="Sylfaen" w:hAnsi="Sylfaen" w:cs="Sylfaen"/>
          <w:lang w:val="ka-GE"/>
        </w:rPr>
        <w:t>ათასი ლარი</w:t>
      </w:r>
      <w:r w:rsidR="00746294" w:rsidRPr="004464CC">
        <w:rPr>
          <w:rFonts w:ascii="Sylfaen" w:hAnsi="Sylfaen" w:cs="Sylfaen"/>
          <w:lang w:val="ka-GE"/>
        </w:rPr>
        <w:t xml:space="preserve">. </w:t>
      </w:r>
      <w:r w:rsidR="005E0A52" w:rsidRPr="004464CC">
        <w:rPr>
          <w:rFonts w:ascii="Sylfaen" w:hAnsi="Sylfaen" w:cs="Sylfaen"/>
          <w:lang w:val="ka-GE"/>
        </w:rPr>
        <w:t>შესაბამისად</w:t>
      </w:r>
      <w:r w:rsidR="001B2633" w:rsidRPr="004464CC">
        <w:rPr>
          <w:rFonts w:ascii="Sylfaen" w:hAnsi="Sylfaen" w:cs="Sylfaen"/>
        </w:rPr>
        <w:t>,</w:t>
      </w:r>
      <w:r w:rsidR="005E0A52" w:rsidRPr="004464CC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FB7087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44178B" w:rsidRPr="004464CC">
        <w:rPr>
          <w:rFonts w:ascii="Sylfaen" w:hAnsi="Sylfaen" w:cs="Sylfaen"/>
          <w:lang w:val="ka-GE"/>
        </w:rPr>
        <w:t xml:space="preserve"> </w:t>
      </w:r>
      <w:r w:rsidR="00E51277" w:rsidRPr="00E51277">
        <w:rPr>
          <w:rFonts w:ascii="Sylfaen" w:hAnsi="Sylfaen" w:cs="Sylfaen"/>
          <w:lang w:val="ka-GE"/>
        </w:rPr>
        <w:t>425</w:t>
      </w:r>
      <w:r w:rsidR="00E51277">
        <w:rPr>
          <w:rFonts w:ascii="Sylfaen" w:hAnsi="Sylfaen" w:cs="Sylfaen"/>
          <w:lang w:val="ka-GE"/>
        </w:rPr>
        <w:t> </w:t>
      </w:r>
      <w:r w:rsidR="00E51277" w:rsidRPr="00E51277">
        <w:rPr>
          <w:rFonts w:ascii="Sylfaen" w:hAnsi="Sylfaen" w:cs="Sylfaen"/>
          <w:lang w:val="ka-GE"/>
        </w:rPr>
        <w:t>994</w:t>
      </w:r>
      <w:r w:rsidR="00E51277">
        <w:rPr>
          <w:rFonts w:ascii="Sylfaen" w:hAnsi="Sylfaen" w:cs="Sylfaen"/>
          <w:lang w:val="ka-GE"/>
        </w:rPr>
        <w:t>.</w:t>
      </w:r>
      <w:r w:rsidR="00E51277" w:rsidRPr="00E51277">
        <w:rPr>
          <w:rFonts w:ascii="Sylfaen" w:hAnsi="Sylfaen" w:cs="Sylfaen"/>
          <w:lang w:val="ka-GE"/>
        </w:rPr>
        <w:t>5</w:t>
      </w:r>
      <w:r w:rsidR="00E51277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</w:t>
      </w:r>
      <w:r w:rsidR="00746294" w:rsidRPr="004464CC">
        <w:rPr>
          <w:rFonts w:ascii="Sylfaen" w:hAnsi="Sylfaen" w:cs="Sylfaen"/>
          <w:lang w:val="ka-GE"/>
        </w:rPr>
        <w:t>ი</w:t>
      </w:r>
      <w:r w:rsidR="005E0A52" w:rsidRPr="004464CC">
        <w:rPr>
          <w:rFonts w:ascii="Sylfaen" w:hAnsi="Sylfaen" w:cs="Sylfaen"/>
          <w:lang w:val="ka-GE"/>
        </w:rPr>
        <w:t xml:space="preserve"> ლარით განისაზღვრა.</w:t>
      </w:r>
    </w:p>
    <w:p w:rsidR="00F26066" w:rsidRDefault="005E0A52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საანგარიშო პერიოდში განხორციელდა</w:t>
      </w:r>
      <w:r w:rsidR="00F26066" w:rsidRPr="004464CC">
        <w:rPr>
          <w:rFonts w:ascii="Sylfaen" w:hAnsi="Sylfaen" w:cs="Sylfaen"/>
          <w:lang w:val="ka-GE"/>
        </w:rPr>
        <w:t xml:space="preserve"> ობლიგაციები</w:t>
      </w:r>
      <w:r w:rsidR="00994CC0">
        <w:rPr>
          <w:rFonts w:ascii="Sylfaen" w:hAnsi="Sylfaen" w:cs="Sylfaen"/>
          <w:lang w:val="ka-GE"/>
        </w:rPr>
        <w:t xml:space="preserve"> ღია ბაზრის ოპერაციებისთვის</w:t>
      </w:r>
      <w:r w:rsidR="00F26066" w:rsidRPr="004464CC">
        <w:rPr>
          <w:rFonts w:ascii="Sylfaen" w:hAnsi="Sylfaen" w:cs="Sylfaen"/>
          <w:lang w:val="ka-GE"/>
        </w:rPr>
        <w:t xml:space="preserve"> ძირითადი თანხის დაფარვა (სებ-ის მიმართ ვალი) </w:t>
      </w:r>
      <w:r w:rsidR="00E51277">
        <w:rPr>
          <w:rFonts w:ascii="Sylfaen" w:hAnsi="Sylfaen" w:cs="Sylfaen"/>
          <w:lang w:val="ka-GE"/>
        </w:rPr>
        <w:t>3</w:t>
      </w:r>
      <w:r w:rsidR="00B2672E">
        <w:rPr>
          <w:rFonts w:ascii="Sylfaen" w:hAnsi="Sylfaen" w:cs="Sylfaen"/>
          <w:lang w:val="ka-GE"/>
        </w:rPr>
        <w:t>2</w:t>
      </w:r>
      <w:r w:rsidR="00603BE0">
        <w:rPr>
          <w:rFonts w:ascii="Sylfaen" w:hAnsi="Sylfaen" w:cs="Sylfaen"/>
          <w:lang w:val="ka-GE"/>
        </w:rPr>
        <w:t xml:space="preserve"> </w:t>
      </w:r>
      <w:r w:rsidR="00F26066" w:rsidRPr="00FB7087">
        <w:rPr>
          <w:rFonts w:ascii="Sylfaen" w:hAnsi="Sylfaen" w:cs="Sylfaen"/>
          <w:lang w:val="ka-GE"/>
        </w:rPr>
        <w:t>000.0 ათასი</w:t>
      </w:r>
      <w:r w:rsidR="00F26066" w:rsidRPr="004464CC">
        <w:rPr>
          <w:rFonts w:ascii="Sylfaen" w:hAnsi="Sylfaen" w:cs="Sylfaen"/>
          <w:lang w:val="ka-GE"/>
        </w:rPr>
        <w:t xml:space="preserve"> ლარის ოდენობით, საქართველოს მთავრობის და საქართველოს ეროვნული ბანკის 2006 წლის 15 მაისის „საქართველოს მთავრობის საქართველოს ეროვნული ბანკისადმი დავალიანების დაფარვის ღონისძიებების შესახებ“</w:t>
      </w:r>
      <w:r w:rsidR="00F26066" w:rsidRPr="009531BC">
        <w:rPr>
          <w:rFonts w:ascii="Sylfaen" w:hAnsi="Sylfaen" w:cs="Sylfaen"/>
          <w:lang w:val="ka-GE"/>
        </w:rPr>
        <w:t xml:space="preserve"> 2006 წლის 20 მარტის შეთანხმებაში ცვლილებების შეტანის თაობაზე“ შეთანხმების შესაბამისად. </w:t>
      </w:r>
    </w:p>
    <w:p w:rsidR="00E97721" w:rsidRDefault="00E97721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C65B32" w:rsidRDefault="00C65B32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4150CD" w:rsidRDefault="0075480C" w:rsidP="00ED1C55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მთავრობის</w:t>
      </w:r>
      <w:r w:rsidR="000340AB" w:rsidRPr="00B4160B">
        <w:rPr>
          <w:rFonts w:ascii="Sylfaen" w:hAnsi="Sylfaen"/>
          <w:b/>
          <w:lang w:val="ka-GE"/>
        </w:rPr>
        <w:t xml:space="preserve"> ვალის</w:t>
      </w:r>
      <w:r w:rsidR="000340AB">
        <w:rPr>
          <w:rFonts w:ascii="Sylfaen" w:hAnsi="Sylfaen"/>
          <w:b/>
          <w:lang w:val="ka-GE"/>
        </w:rPr>
        <w:t xml:space="preserve"> </w:t>
      </w:r>
      <w:r w:rsidR="0032795B">
        <w:rPr>
          <w:rFonts w:ascii="Sylfaen" w:hAnsi="Sylfaen"/>
          <w:b/>
          <w:lang w:val="ka-GE"/>
        </w:rPr>
        <w:t>ნაშთი</w:t>
      </w:r>
      <w:r w:rsidR="0032795B" w:rsidRPr="00B4160B">
        <w:rPr>
          <w:rFonts w:ascii="Sylfaen" w:hAnsi="Sylfaen"/>
          <w:b/>
          <w:lang w:val="ka-GE"/>
        </w:rPr>
        <w:t xml:space="preserve"> </w:t>
      </w:r>
      <w:r w:rsidR="001A397F" w:rsidRPr="00B4160B">
        <w:rPr>
          <w:rFonts w:ascii="Sylfaen" w:hAnsi="Sylfaen"/>
          <w:b/>
          <w:lang w:val="ka-GE"/>
        </w:rPr>
        <w:t>201</w:t>
      </w:r>
      <w:r w:rsidR="001E6B6E">
        <w:rPr>
          <w:rFonts w:ascii="Sylfaen" w:hAnsi="Sylfaen"/>
          <w:b/>
        </w:rPr>
        <w:t>9</w:t>
      </w:r>
      <w:r w:rsidR="001A397F" w:rsidRPr="00B4160B">
        <w:rPr>
          <w:rFonts w:ascii="Sylfaen" w:hAnsi="Sylfaen"/>
          <w:b/>
          <w:lang w:val="ka-GE"/>
        </w:rPr>
        <w:t xml:space="preserve"> </w:t>
      </w:r>
      <w:r w:rsidR="000340AB" w:rsidRPr="00B4160B">
        <w:rPr>
          <w:rFonts w:ascii="Sylfaen" w:hAnsi="Sylfaen"/>
          <w:b/>
          <w:lang w:val="ka-GE"/>
        </w:rPr>
        <w:t xml:space="preserve">წლის </w:t>
      </w:r>
      <w:r w:rsidR="00B2672E">
        <w:rPr>
          <w:rFonts w:ascii="Sylfaen" w:hAnsi="Sylfaen"/>
          <w:b/>
          <w:lang w:val="ka-GE"/>
        </w:rPr>
        <w:t>30</w:t>
      </w:r>
      <w:r w:rsidR="00FA187E">
        <w:rPr>
          <w:rFonts w:ascii="Sylfaen" w:hAnsi="Sylfaen"/>
          <w:b/>
          <w:lang w:val="ka-GE"/>
        </w:rPr>
        <w:t xml:space="preserve"> </w:t>
      </w:r>
      <w:r w:rsidR="00CE3D1B">
        <w:rPr>
          <w:rFonts w:ascii="Sylfaen" w:hAnsi="Sylfaen"/>
          <w:b/>
          <w:lang w:val="ka-GE"/>
        </w:rPr>
        <w:t>სექტემბრის</w:t>
      </w:r>
      <w:r w:rsidR="00861F1F">
        <w:rPr>
          <w:rFonts w:ascii="Sylfaen" w:hAnsi="Sylfaen"/>
          <w:b/>
          <w:lang w:val="ka-GE"/>
        </w:rPr>
        <w:t xml:space="preserve"> </w:t>
      </w:r>
      <w:r w:rsidR="000340AB">
        <w:rPr>
          <w:rFonts w:ascii="Sylfaen" w:hAnsi="Sylfaen"/>
          <w:b/>
          <w:lang w:val="ka-GE"/>
        </w:rPr>
        <w:t>მდგომარეობით</w:t>
      </w:r>
    </w:p>
    <w:p w:rsidR="00E97721" w:rsidRDefault="00E97721" w:rsidP="00ED1C55">
      <w:pPr>
        <w:tabs>
          <w:tab w:val="left" w:pos="720"/>
        </w:tabs>
        <w:spacing w:after="0" w:line="240" w:lineRule="auto"/>
        <w:jc w:val="center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:rsidR="008E21AE" w:rsidRDefault="000A553C" w:rsidP="000A553C">
      <w:pPr>
        <w:spacing w:after="0" w:line="240" w:lineRule="auto"/>
        <w:jc w:val="center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</w:t>
      </w:r>
      <w:r w:rsidR="00C175C0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</w:t>
      </w:r>
      <w:r w:rsidR="004150CD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p w:rsidR="008E21AE" w:rsidRDefault="008E21AE" w:rsidP="000A553C">
      <w:pPr>
        <w:spacing w:after="0" w:line="240" w:lineRule="auto"/>
        <w:jc w:val="center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21"/>
        <w:gridCol w:w="2033"/>
      </w:tblGrid>
      <w:tr w:rsidR="008E21AE" w:rsidRPr="008E21AE" w:rsidTr="008E21AE">
        <w:trPr>
          <w:trHeight w:val="288"/>
          <w:tblHeader/>
        </w:trPr>
        <w:tc>
          <w:tcPr>
            <w:tcW w:w="39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30.09.2019</w:t>
            </w:r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8E21AE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15,222,826.1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11,063,602.6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5,541,449.5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სოფლის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96,244.7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20,144.3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340,932.9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3,388,945.3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1,482,596.5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122,686.8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67,692.0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2,910.6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2,676,588.7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56,031.5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20,312.6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623.8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39,035.0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15,563.6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რუსეთი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158,907.3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22,323.9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354.5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323.7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42,617.4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3,732.1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910,744.1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640,561.9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27,841.6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2,004.6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ამერიკა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57,452.0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678,159.1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1,477,600.0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1,477,600.0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5,034.8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5,034.8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3,650,783.0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240,846.0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ვადის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ღია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ბაზრის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160,000.0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565,430.3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8E21A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2,678,172.1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სესხის</w:t>
            </w:r>
            <w:proofErr w:type="spellEnd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სახით</w:t>
            </w:r>
            <w:proofErr w:type="spellEnd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ვალი</w:t>
            </w:r>
            <w:proofErr w:type="spellEnd"/>
            <w:r w:rsidRPr="008E21AE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6,334.6</w:t>
            </w:r>
          </w:p>
        </w:tc>
      </w:tr>
      <w:tr w:rsidR="008E21AE" w:rsidRPr="008E21AE" w:rsidTr="008E21AE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8E21A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21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8E21AE" w:rsidRPr="008E21AE" w:rsidRDefault="008E21AE" w:rsidP="008E2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E21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18,873,609.1</w:t>
            </w:r>
          </w:p>
        </w:tc>
      </w:tr>
    </w:tbl>
    <w:p w:rsidR="00C175C0" w:rsidRPr="00FB7087" w:rsidRDefault="00B62FE2" w:rsidP="000A553C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br w:type="textWrapping" w:clear="all"/>
      </w:r>
    </w:p>
    <w:p w:rsidR="000340AB" w:rsidRPr="00AD6A17" w:rsidRDefault="000340AB" w:rsidP="00D62E87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proofErr w:type="spellStart"/>
      <w:proofErr w:type="gramStart"/>
      <w:r w:rsidRPr="00B01FEA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proofErr w:type="gramEnd"/>
      <w:r w:rsidRPr="00B01FEA">
        <w:rPr>
          <w:i/>
          <w:sz w:val="16"/>
          <w:szCs w:val="16"/>
        </w:rPr>
        <w:t xml:space="preserve">: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AD6A17" w:rsidSect="00C65B32">
      <w:footerReference w:type="default" r:id="rId11"/>
      <w:footerReference w:type="first" r:id="rId12"/>
      <w:pgSz w:w="11907" w:h="16839" w:code="9"/>
      <w:pgMar w:top="709" w:right="992" w:bottom="568" w:left="851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B5" w:rsidRDefault="007858B5" w:rsidP="00400BED">
      <w:pPr>
        <w:spacing w:after="0" w:line="240" w:lineRule="auto"/>
      </w:pPr>
      <w:r>
        <w:separator/>
      </w:r>
    </w:p>
  </w:endnote>
  <w:endnote w:type="continuationSeparator" w:id="0">
    <w:p w:rsidR="007858B5" w:rsidRDefault="007858B5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04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1AE" w:rsidRDefault="008E21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9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1AE" w:rsidRDefault="008E2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AE" w:rsidRPr="00137A54" w:rsidRDefault="008E21AE" w:rsidP="00137A54">
    <w:pPr>
      <w:pStyle w:val="ListParagraph"/>
      <w:numPr>
        <w:ilvl w:val="0"/>
        <w:numId w:val="12"/>
      </w:numPr>
      <w:rPr>
        <w:rFonts w:ascii="Sylfaen" w:hAnsi="Sylfaen"/>
        <w:b/>
        <w:sz w:val="16"/>
        <w:szCs w:val="16"/>
        <w:lang w:val="ka-GE"/>
      </w:rPr>
    </w:pPr>
    <w:r w:rsidRPr="00236683">
      <w:rPr>
        <w:rFonts w:ascii="Sylfaen" w:hAnsi="Sylfaen"/>
        <w:i/>
        <w:sz w:val="16"/>
        <w:szCs w:val="16"/>
        <w:lang w:val="ka-GE"/>
      </w:rPr>
      <w:t>შენიშნა: ვალის ნაშთი არ მოიცავს საქართველოს სახელმწიფო ვალის შესახებ კანონის 48-ე მუხლით გათვალისწინებულ ვალდებულებებს,</w:t>
    </w:r>
    <w:r w:rsidRPr="00137A54">
      <w:rPr>
        <w:rFonts w:ascii="Sylfaen" w:hAnsi="Sylfaen"/>
        <w:b/>
        <w:sz w:val="16"/>
        <w:szCs w:val="16"/>
        <w:lang w:val="ka-GE"/>
      </w:rPr>
      <w:t xml:space="preserve"> </w:t>
    </w:r>
    <w:r w:rsidRPr="001D01A5">
      <w:rPr>
        <w:rFonts w:ascii="Sylfaen" w:hAnsi="Sylfaen"/>
        <w:i/>
        <w:sz w:val="16"/>
        <w:szCs w:val="16"/>
        <w:lang w:val="ka-GE"/>
      </w:rPr>
      <w:t>ვინაიდან აღნიშნულ მაჩვენებელზე არ არსებობს სრულყოფილი ინფორმაცია</w:t>
    </w:r>
    <w:r w:rsidRPr="001D01A5">
      <w:rPr>
        <w:rFonts w:ascii="Sylfaen" w:hAnsi="Sylfaen"/>
        <w:i/>
        <w:sz w:val="16"/>
        <w:szCs w:val="16"/>
      </w:rPr>
      <w:t>;</w:t>
    </w:r>
  </w:p>
  <w:p w:rsidR="008E21AE" w:rsidRDefault="008E2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B5" w:rsidRDefault="007858B5" w:rsidP="00400BED">
      <w:pPr>
        <w:spacing w:after="0" w:line="240" w:lineRule="auto"/>
      </w:pPr>
      <w:r>
        <w:separator/>
      </w:r>
    </w:p>
  </w:footnote>
  <w:footnote w:type="continuationSeparator" w:id="0">
    <w:p w:rsidR="007858B5" w:rsidRDefault="007858B5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188A"/>
    <w:rsid w:val="00071A4F"/>
    <w:rsid w:val="00071D1D"/>
    <w:rsid w:val="00071DD7"/>
    <w:rsid w:val="00073EEF"/>
    <w:rsid w:val="0007413E"/>
    <w:rsid w:val="00074A14"/>
    <w:rsid w:val="0007502B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53C"/>
    <w:rsid w:val="000A5F64"/>
    <w:rsid w:val="000B0D2B"/>
    <w:rsid w:val="000B16F8"/>
    <w:rsid w:val="000B2189"/>
    <w:rsid w:val="000B4717"/>
    <w:rsid w:val="000B567A"/>
    <w:rsid w:val="000B6954"/>
    <w:rsid w:val="000B6CAA"/>
    <w:rsid w:val="000C139F"/>
    <w:rsid w:val="000C3566"/>
    <w:rsid w:val="000C416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58F4"/>
    <w:rsid w:val="001763B0"/>
    <w:rsid w:val="00181ECC"/>
    <w:rsid w:val="00182832"/>
    <w:rsid w:val="00187C1C"/>
    <w:rsid w:val="00190A72"/>
    <w:rsid w:val="00193364"/>
    <w:rsid w:val="00193C76"/>
    <w:rsid w:val="00197E9D"/>
    <w:rsid w:val="001A078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36683"/>
    <w:rsid w:val="002402B6"/>
    <w:rsid w:val="0024105B"/>
    <w:rsid w:val="00242810"/>
    <w:rsid w:val="0024488E"/>
    <w:rsid w:val="00247C11"/>
    <w:rsid w:val="0025039F"/>
    <w:rsid w:val="00256FDD"/>
    <w:rsid w:val="00262BF3"/>
    <w:rsid w:val="00263EAD"/>
    <w:rsid w:val="00270120"/>
    <w:rsid w:val="00270C72"/>
    <w:rsid w:val="00274E21"/>
    <w:rsid w:val="002758CB"/>
    <w:rsid w:val="0027700A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EE6"/>
    <w:rsid w:val="002C2F60"/>
    <w:rsid w:val="002C41C2"/>
    <w:rsid w:val="002C7782"/>
    <w:rsid w:val="002C784F"/>
    <w:rsid w:val="002D15C8"/>
    <w:rsid w:val="002D16E4"/>
    <w:rsid w:val="002D22B9"/>
    <w:rsid w:val="002D6813"/>
    <w:rsid w:val="002E3E75"/>
    <w:rsid w:val="002E40E8"/>
    <w:rsid w:val="002F292C"/>
    <w:rsid w:val="002F4A36"/>
    <w:rsid w:val="002F5FB0"/>
    <w:rsid w:val="002F7144"/>
    <w:rsid w:val="00300306"/>
    <w:rsid w:val="00300938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49ED"/>
    <w:rsid w:val="00387352"/>
    <w:rsid w:val="0039166F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2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E743D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50CD"/>
    <w:rsid w:val="00416472"/>
    <w:rsid w:val="00425B8C"/>
    <w:rsid w:val="00425E7D"/>
    <w:rsid w:val="00426244"/>
    <w:rsid w:val="00427DC2"/>
    <w:rsid w:val="004324BD"/>
    <w:rsid w:val="00434625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209C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0CBB"/>
    <w:rsid w:val="004D17A6"/>
    <w:rsid w:val="004D26F9"/>
    <w:rsid w:val="004D3EA2"/>
    <w:rsid w:val="004D7B47"/>
    <w:rsid w:val="004E160B"/>
    <w:rsid w:val="004E2497"/>
    <w:rsid w:val="004E422E"/>
    <w:rsid w:val="004F2321"/>
    <w:rsid w:val="004F5AB2"/>
    <w:rsid w:val="0050185A"/>
    <w:rsid w:val="00501E22"/>
    <w:rsid w:val="00510802"/>
    <w:rsid w:val="005131CE"/>
    <w:rsid w:val="00515451"/>
    <w:rsid w:val="005165EB"/>
    <w:rsid w:val="00523377"/>
    <w:rsid w:val="00523560"/>
    <w:rsid w:val="0053140C"/>
    <w:rsid w:val="0053399C"/>
    <w:rsid w:val="005349CA"/>
    <w:rsid w:val="00534D33"/>
    <w:rsid w:val="0053506B"/>
    <w:rsid w:val="005370EC"/>
    <w:rsid w:val="0054275A"/>
    <w:rsid w:val="00543222"/>
    <w:rsid w:val="00544364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33C6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2D48"/>
    <w:rsid w:val="00615CCA"/>
    <w:rsid w:val="006168BD"/>
    <w:rsid w:val="006202AE"/>
    <w:rsid w:val="0062047A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A0EC7"/>
    <w:rsid w:val="006A1E01"/>
    <w:rsid w:val="006A3476"/>
    <w:rsid w:val="006A41DE"/>
    <w:rsid w:val="006A47A2"/>
    <w:rsid w:val="006A7D49"/>
    <w:rsid w:val="006B0590"/>
    <w:rsid w:val="006B1B1E"/>
    <w:rsid w:val="006B398B"/>
    <w:rsid w:val="006B3FC1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2B91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80B7F"/>
    <w:rsid w:val="007820A8"/>
    <w:rsid w:val="00784855"/>
    <w:rsid w:val="0078542F"/>
    <w:rsid w:val="007858B5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5F93"/>
    <w:rsid w:val="00826C90"/>
    <w:rsid w:val="0083184C"/>
    <w:rsid w:val="008330FC"/>
    <w:rsid w:val="00834365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3DFC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2C36"/>
    <w:rsid w:val="008B343B"/>
    <w:rsid w:val="008B5C7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21AE"/>
    <w:rsid w:val="008E40B9"/>
    <w:rsid w:val="008E435A"/>
    <w:rsid w:val="008E772B"/>
    <w:rsid w:val="008F0B91"/>
    <w:rsid w:val="00903ED6"/>
    <w:rsid w:val="00905BCC"/>
    <w:rsid w:val="00907532"/>
    <w:rsid w:val="00914D8C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75967"/>
    <w:rsid w:val="009816B7"/>
    <w:rsid w:val="00982850"/>
    <w:rsid w:val="00982E29"/>
    <w:rsid w:val="00986AAF"/>
    <w:rsid w:val="009917B8"/>
    <w:rsid w:val="00991B14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2021C"/>
    <w:rsid w:val="00A2126C"/>
    <w:rsid w:val="00A26B28"/>
    <w:rsid w:val="00A304CC"/>
    <w:rsid w:val="00A30759"/>
    <w:rsid w:val="00A32DCB"/>
    <w:rsid w:val="00A33B48"/>
    <w:rsid w:val="00A36390"/>
    <w:rsid w:val="00A404B7"/>
    <w:rsid w:val="00A45EB8"/>
    <w:rsid w:val="00A50002"/>
    <w:rsid w:val="00A5293F"/>
    <w:rsid w:val="00A56E3B"/>
    <w:rsid w:val="00A57273"/>
    <w:rsid w:val="00A6278E"/>
    <w:rsid w:val="00A63967"/>
    <w:rsid w:val="00A67F51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E57"/>
    <w:rsid w:val="00AD6A17"/>
    <w:rsid w:val="00AE3BBE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2672E"/>
    <w:rsid w:val="00B30876"/>
    <w:rsid w:val="00B3130D"/>
    <w:rsid w:val="00B32432"/>
    <w:rsid w:val="00B34FAA"/>
    <w:rsid w:val="00B44750"/>
    <w:rsid w:val="00B44900"/>
    <w:rsid w:val="00B460EB"/>
    <w:rsid w:val="00B502E6"/>
    <w:rsid w:val="00B5085B"/>
    <w:rsid w:val="00B55FD3"/>
    <w:rsid w:val="00B57E95"/>
    <w:rsid w:val="00B60154"/>
    <w:rsid w:val="00B61F3B"/>
    <w:rsid w:val="00B62FE2"/>
    <w:rsid w:val="00B64DB8"/>
    <w:rsid w:val="00B662F1"/>
    <w:rsid w:val="00B6654D"/>
    <w:rsid w:val="00B67339"/>
    <w:rsid w:val="00B72782"/>
    <w:rsid w:val="00B73877"/>
    <w:rsid w:val="00B741CD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B4019"/>
    <w:rsid w:val="00BC132A"/>
    <w:rsid w:val="00BC168E"/>
    <w:rsid w:val="00BC505C"/>
    <w:rsid w:val="00BC5E24"/>
    <w:rsid w:val="00BC764D"/>
    <w:rsid w:val="00BD138C"/>
    <w:rsid w:val="00BD1D05"/>
    <w:rsid w:val="00BD2A19"/>
    <w:rsid w:val="00BD3C50"/>
    <w:rsid w:val="00BD4E03"/>
    <w:rsid w:val="00BD7F9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5531"/>
    <w:rsid w:val="00C175C0"/>
    <w:rsid w:val="00C17F88"/>
    <w:rsid w:val="00C2136E"/>
    <w:rsid w:val="00C21AE9"/>
    <w:rsid w:val="00C31756"/>
    <w:rsid w:val="00C31F7F"/>
    <w:rsid w:val="00C3279B"/>
    <w:rsid w:val="00C367E2"/>
    <w:rsid w:val="00C36A3D"/>
    <w:rsid w:val="00C37E2F"/>
    <w:rsid w:val="00C42DBB"/>
    <w:rsid w:val="00C44420"/>
    <w:rsid w:val="00C4579F"/>
    <w:rsid w:val="00C52BA0"/>
    <w:rsid w:val="00C644C6"/>
    <w:rsid w:val="00C6464F"/>
    <w:rsid w:val="00C65B32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91918"/>
    <w:rsid w:val="00C92D73"/>
    <w:rsid w:val="00C9602D"/>
    <w:rsid w:val="00C9708E"/>
    <w:rsid w:val="00CA322C"/>
    <w:rsid w:val="00CA4A72"/>
    <w:rsid w:val="00CA65F9"/>
    <w:rsid w:val="00CA70A1"/>
    <w:rsid w:val="00CB2BCD"/>
    <w:rsid w:val="00CB36D7"/>
    <w:rsid w:val="00CB3F5C"/>
    <w:rsid w:val="00CB5065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3D1B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3DE"/>
    <w:rsid w:val="00D207EF"/>
    <w:rsid w:val="00D21BD3"/>
    <w:rsid w:val="00D2609D"/>
    <w:rsid w:val="00D261E7"/>
    <w:rsid w:val="00D26939"/>
    <w:rsid w:val="00D31A08"/>
    <w:rsid w:val="00D32336"/>
    <w:rsid w:val="00D3238E"/>
    <w:rsid w:val="00D32582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C1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B657D"/>
    <w:rsid w:val="00DC24F5"/>
    <w:rsid w:val="00DC3604"/>
    <w:rsid w:val="00DD252A"/>
    <w:rsid w:val="00DD2856"/>
    <w:rsid w:val="00DD66EB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052D"/>
    <w:rsid w:val="00E014B2"/>
    <w:rsid w:val="00E01ADA"/>
    <w:rsid w:val="00E01BC8"/>
    <w:rsid w:val="00E02C4C"/>
    <w:rsid w:val="00E07907"/>
    <w:rsid w:val="00E079D4"/>
    <w:rsid w:val="00E11336"/>
    <w:rsid w:val="00E14FE1"/>
    <w:rsid w:val="00E17E10"/>
    <w:rsid w:val="00E20D5F"/>
    <w:rsid w:val="00E2136D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277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0C3"/>
    <w:rsid w:val="00E81BCB"/>
    <w:rsid w:val="00E857B0"/>
    <w:rsid w:val="00E9045D"/>
    <w:rsid w:val="00E93712"/>
    <w:rsid w:val="00E97721"/>
    <w:rsid w:val="00EA293E"/>
    <w:rsid w:val="00EA2D25"/>
    <w:rsid w:val="00EA388F"/>
    <w:rsid w:val="00EA46B3"/>
    <w:rsid w:val="00EA65D7"/>
    <w:rsid w:val="00EB0470"/>
    <w:rsid w:val="00EB0989"/>
    <w:rsid w:val="00EB0EE9"/>
    <w:rsid w:val="00EB1B0E"/>
    <w:rsid w:val="00EB2E2F"/>
    <w:rsid w:val="00EB4097"/>
    <w:rsid w:val="00EB7421"/>
    <w:rsid w:val="00EC0C5D"/>
    <w:rsid w:val="00EC2EC2"/>
    <w:rsid w:val="00EC5B6F"/>
    <w:rsid w:val="00EC634D"/>
    <w:rsid w:val="00EC701B"/>
    <w:rsid w:val="00ED0545"/>
    <w:rsid w:val="00ED0857"/>
    <w:rsid w:val="00ED14F4"/>
    <w:rsid w:val="00ED1C55"/>
    <w:rsid w:val="00ED39B6"/>
    <w:rsid w:val="00ED3F2C"/>
    <w:rsid w:val="00ED69D4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31FF"/>
    <w:rsid w:val="00F34EAC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379C5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8%20June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19%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  <a:endParaRPr lang="ka-GE" sz="900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4973951117292478"/>
                  <c:y val="-2.962962962962963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/>
                      <a:t>ორმხრივი
14%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23302724672587"/>
                      <c:h val="0.15309652960046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0.14029659385127649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9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b="0">
                        <a:solidFill>
                          <a:sysClr val="windowText" lastClr="000000"/>
                        </a:solidFill>
                      </a:rPr>
                      <a:t>ევრობონდი
8 %</a:t>
                    </a:r>
                    <a:endParaRPr lang="ka-GE" sz="900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  <a:endParaRPr lang="ka-GE" sz="900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8627450980392157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7251386760838"/>
          <c:y val="0.17510173613619398"/>
          <c:w val="0.82278336829517917"/>
          <c:h val="0.8063058433485287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11-4977-804C-34D50D70DA1E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111-4977-804C-34D50D70DA1E}"/>
              </c:ext>
            </c:extLst>
          </c:dPt>
          <c:dLbls>
            <c:dLbl>
              <c:idx val="0"/>
              <c:layout>
                <c:manualLayout>
                  <c:x val="-9.2817614548750899E-2"/>
                  <c:y val="-0.14226988379863481"/>
                </c:manualLayout>
              </c:layout>
              <c:tx>
                <c:rich>
                  <a:bodyPr/>
                  <a:lstStyle/>
                  <a:p>
                    <a:fld id="{82737498-9DFB-4C5B-97DF-27FC058FB40E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59%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08408236171314"/>
                      <c:h val="0.228508592389254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111-4977-804C-34D50D70DA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B7B180F-5D43-4F27-AC05-C88EB4EA4DB3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41%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111-4977-804C-34D50D70DA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11-4977-804C-34D50D70DA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57533861778982"/>
          <c:y val="0.25790341207349082"/>
          <c:w val="0.70685416831257286"/>
          <c:h val="0.69605459317585305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7E72-4AD5-9956-34AE7C0EC15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E72-4AD5-9956-34AE7C0EC15A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E72-4AD5-9956-34AE7C0EC15A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55CB177-BA8E-4C6C-A9DF-9DD3A87BA7C6}" type="CATEGORYNAME">
                      <a:rPr lang="en-US" sz="80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 27%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E72-4AD5-9956-34AE7C0EC15A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tx>
                <c:rich>
                  <a:bodyPr/>
                  <a:lstStyle/>
                  <a:p>
                    <a:fld id="{9B5BF100-2B27-4466-BB85-C06A77BF795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E72-4AD5-9956-34AE7C0EC15A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tx>
                <c:rich>
                  <a:bodyPr/>
                  <a:lstStyle/>
                  <a:p>
                    <a:fld id="{B6C6FC8D-2120-4194-90C4-E084DF22399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E72-4AD5-9956-34AE7C0EC15A}"/>
                </c:ext>
              </c:extLst>
            </c:dLbl>
            <c:dLbl>
              <c:idx val="3"/>
              <c:layout>
                <c:manualLayout>
                  <c:x val="2.2794792791369305E-2"/>
                  <c:y val="-6.9255643044619425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72-4AD5-9956-34AE7C0EC15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Jun!$M$37:$M$40</c:f>
              <c:numCache>
                <c:formatCode>0%</c:formatCode>
                <c:ptCount val="4"/>
                <c:pt idx="0">
                  <c:v>0.22068594522484139</c:v>
                </c:pt>
                <c:pt idx="1">
                  <c:v>0.39872968772600609</c:v>
                </c:pt>
                <c:pt idx="2">
                  <c:v>0.33676257184916791</c:v>
                </c:pt>
                <c:pt idx="3">
                  <c:v>4.3821795199984533E-2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E72-4AD5-9956-34AE7C0EC15A}"/>
            </c:ext>
          </c:extLst>
        </c:ser>
        <c:ser>
          <c:idx val="1"/>
          <c:order val="1"/>
          <c:explosion val="25"/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Jun!$M$39:$M$42</c:f>
              <c:numCache>
                <c:formatCode>0%</c:formatCode>
                <c:ptCount val="4"/>
                <c:pt idx="0">
                  <c:v>0.33676257184916791</c:v>
                </c:pt>
                <c:pt idx="1">
                  <c:v>4.3821795199984533E-2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2-4AD5-9956-34AE7C0EC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0.19676</cdr:x>
      <cdr:y>0</cdr:y>
    </cdr:from>
    <cdr:to>
      <cdr:x>0.90729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0371" y="0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</a:t>
          </a:r>
          <a:r>
            <a:rPr lang="ka-GE" sz="1000" b="0">
              <a:effectLst/>
              <a:latin typeface="+mn-lt"/>
              <a:ea typeface="+mn-ea"/>
              <a:cs typeface="+mn-cs"/>
            </a:rPr>
            <a:t>   </a:t>
          </a:r>
          <a:r>
            <a:rPr lang="ka-GE" sz="900" b="0">
              <a:effectLst/>
              <a:latin typeface="+mn-lt"/>
              <a:ea typeface="+mn-ea"/>
              <a:cs typeface="+mn-cs"/>
            </a:rPr>
            <a:t>სტრუქტურა</a:t>
          </a:r>
          <a:endParaRPr lang="en-US" sz="900" b="0">
            <a:effectLst/>
          </a:endParaRPr>
        </a:p>
        <a:p xmlns:a="http://schemas.openxmlformats.org/drawingml/2006/main"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5187-E886-4EA0-A1E5-D19BEC34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4</cp:revision>
  <cp:lastPrinted>2019-10-24T12:50:00Z</cp:lastPrinted>
  <dcterms:created xsi:type="dcterms:W3CDTF">2019-10-24T13:29:00Z</dcterms:created>
  <dcterms:modified xsi:type="dcterms:W3CDTF">2019-10-28T12:15:00Z</dcterms:modified>
</cp:coreProperties>
</file>